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GBO</w:t>
      </w:r>
    </w:p>
    <w:p>
      <w:r>
        <w:rPr>
          <w:color w:val="555555"/>
          <w:sz w:val="18"/>
        </w:rPr>
        <w:t xml:space="preserve">Grundbuchordnung</w:t>
      </w:r>
    </w:p>
    <w:p>
      <w:r>
        <w:rPr>
          <w:color w:val="555555"/>
          <w:sz w:val="18"/>
        </w:rPr>
        <w:t xml:space="preserve">Stand: 10.06.2019 (konsolidierte Textfassung, kein amtliches Inkrafttretensdatum)</w:t>
      </w:r>
    </w:p>
    <w:p>
      <w:r>
        <w:t xml:space="preserve">(1) Die Grundbücher, die auch als Loseblattgrundbuch geführt werden können, werden von den Amtsgerichten geführt (Grundbuchämter). Diese sind für die in ihrem Bezirk liegenden Grundstücke zuständig. Die abweichenden Vorschriften des § 150 für das in Artikel 3 des Einigungsvertrages genannte Gebiet bleiben unberührt.</w:t>
      </w:r>
    </w:p>
    <w:p>
      <w:r>
        <w:t xml:space="preserve">(2) Liegt ein Grundstück in dem Bezirk mehrerer Grundbuchämter, so ist das zuständige Grundbuchamt nach § 5 des Gesetzes über das Verfahren in Familiensachen und in den Angelegenheiten der freiwilligen Gerichtsbarkeit zu bestimmen.</w:t>
      </w:r>
    </w:p>
    <w:p>
      <w:r>
        <w:t xml:space="preserve">(3) Die Landesregierungen werden ermächtigt, durch Rechtsverordnung die Führung des Grundbuchs einem Amtsgericht für die Bezirke mehrerer Amtsgerichte zuzuweisen, wenn dies einer schnelleren und rationelleren Grundbuchführung dient. Sie können die Ermächtigung durch Rechtsverordnung auf die Landesjustizverwaltungen übertragen.</w:t>
      </w:r>
    </w:p>
    <w:p>
      <w:r>
        <w:t xml:space="preserve">(4) Das Bundesministerium der Justiz und für Verbraucherschutz wird ermächtigt, durch Rechtsverordnung, die der Zustimmung des Bundesrates bedarf, die näheren Vorschriften über die Einrichtung und die Führung der Grundbücher, die Hypotheken-, Grundschuld- und Rentenschuldbriefe und die Abschriften aus dem Grundbuch und den Grundakten sowie die Einsicht hierin zu erlassen sowie das Verfahren zur Beseitigung einer Doppelbuchung zu bestimmen. Es kann hierbei auch regeln, inwieweit Änderungen bei einem Grundbuch, die sich auf Grund von Vorschriften der Rechtsverordnung ergeben, den Beteiligten und der Behörde, die das in § 2 Abs. 2 bezeichnete amtliche Verzeichnis führt, bekanntzugeben sind.</w:t>
      </w:r>
    </w:p>
    <w:p>
      <w:r>
        <w:rPr>
          <w:color w:val="555555"/>
          <w:sz w:val="17"/>
        </w:rPr>
        <w:t xml:space="preserve">Zitiervorschlag: § 1 GBO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https://recht.nulegal.eu/gesetze/GBO/1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