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GBLwV (Bayern)</w:t>
      </w:r>
    </w:p>
    <w:p>
      <w:r>
        <w:rPr>
          <w:color w:val="555555"/>
          <w:sz w:val="18"/>
        </w:rPr>
        <w:t xml:space="preserve">Gastschulbeitragsverordnung Landwirtschaft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10 Abs. 2 Nrn. 1 bis 3 des Bayerischen Gesetzes zur nachhaltigen Entwicklung der Agrarwirtschaft und des ländlichen Raumes (Bayerisches Agrarwirtschaftsgesetz – BayAgrarWiG) vom 8. Dezember 2006 (GVBl S. 938, BayRS 787-1-L) erlässt das Bayerische Staatsministerium für Landwirtschaft und Forsten folgende Verordnung:</w:t>
      </w:r>
    </w:p>
    <w:p>
      <w:r>
        <w:rPr>
          <w:color w:val="555555"/>
          <w:sz w:val="17"/>
        </w:rPr>
        <w:t xml:space="preserve">Zitiervorschlag: Eingangsformel GBLwV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https://recht.nulegal.eu/gesetze/GBLwV/eingangsformel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