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GBLwV (Bayern) — Inkrafttreten</w:t>
      </w:r>
    </w:p>
    <w:p>
      <w:r>
        <w:rPr>
          <w:color w:val="555555"/>
          <w:sz w:val="18"/>
        </w:rPr>
        <w:t xml:space="preserve">Gastschulbeitragsverordnung Landwirtschaft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mit Wirkung vom 1. Januar 2007 in Kraft.</w:t>
      </w:r>
    </w:p>
    <w:p>
      <w:r>
        <w:rPr>
          <w:color w:val="555555"/>
          <w:sz w:val="17"/>
        </w:rPr>
        <w:t xml:space="preserve">Zitiervorschlag: § 3 GBLwV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https://recht.nulegal.eu/gesetze/GBLwV/3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