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GBLwV (Bayern) — Pauschalen</w:t>
      </w:r>
    </w:p>
    <w:p>
      <w:r>
        <w:rPr>
          <w:color w:val="555555"/>
          <w:sz w:val="18"/>
        </w:rPr>
        <w:t xml:space="preserve">Gastschulbeitragsverordnung Landwirtschaft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Landwirtschaftsschulen werden als jährliche Gastschulbeiträge je Studierenden folgende Pauschalen festgesetzt, die die Berechnung nach § 1 ersetzen:</w:t>
      </w:r>
    </w:p>
    <w:p>
      <w:r>
        <w:t xml:space="preserve">1.</w:t>
      </w:r>
    </w:p>
    <w:p>
      <w:r>
        <w:t xml:space="preserve">Abteilung Landwirtschaft</w:t>
      </w:r>
    </w:p>
    <w:p>
      <w:r>
        <w:t xml:space="preserve">1 400,00 €</w:t>
      </w:r>
    </w:p>
    <w:p>
      <w:r>
        <w:t xml:space="preserve">2.</w:t>
      </w:r>
    </w:p>
    <w:p>
      <w:r>
        <w:t xml:space="preserve">Abteilung Hauswirtschaft</w:t>
      </w:r>
    </w:p>
    <w:p>
      <w:r>
        <w:t xml:space="preserve">a)</w:t>
      </w:r>
    </w:p>
    <w:p>
      <w:r>
        <w:t xml:space="preserve">Vollzeitform</w:t>
      </w:r>
    </w:p>
    <w:p>
      <w:r>
        <w:t xml:space="preserve">2 350,00 €</w:t>
      </w:r>
    </w:p>
    <w:p>
      <w:r>
        <w:t xml:space="preserve">b)</w:t>
      </w:r>
    </w:p>
    <w:p>
      <w:r>
        <w:t xml:space="preserve">Teilzeitform</w:t>
      </w:r>
    </w:p>
    <w:p>
      <w:r>
        <w:t xml:space="preserve">1 180,00 €.</w:t>
      </w:r>
    </w:p>
    <w:p>
      <w:r>
        <w:t xml:space="preserve">Die Pauschalen sind am 1. Juli eines jeden Haushaltsjahres fällig.</w:t>
      </w:r>
    </w:p>
    <w:p>
      <w:r>
        <w:rPr>
          <w:color w:val="555555"/>
          <w:sz w:val="17"/>
        </w:rPr>
        <w:t xml:space="preserve">Zitiervorschlag: § 2 GBLwV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https://recht.nulegal.eu/gesetze/GBLwV/2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