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GBBStatÄndVAnl — Organe</w:t>
      </w:r>
    </w:p>
    <w:p>
      <w:r>
        <w:rPr>
          <w:color w:val="555555"/>
          <w:sz w:val="18"/>
        </w:rPr>
        <w:t xml:space="preserve">Statut der GBB Genossenschafts-Holding Berlin (Anlage zur Verordnung zur Änderung des Statuts der Genossenschaftsbank Berlin und zu deren Umwandlung)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Holding sind der Vorstand, der Verwaltungsrat und die Hauptversammlung.</w:t>
      </w:r>
    </w:p>
    <w:p>
      <w:r>
        <w:rPr>
          <w:color w:val="555555"/>
          <w:sz w:val="17"/>
        </w:rPr>
        <w:t xml:space="preserve">Zitiervorschlag: § 3 GBBStatÄndVAnl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https://recht.nulegal.eu/gesetze/GBBStat%C3%84ndVAnl/3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GBBStatÄndVAnl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