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GBBStatÄndV</w:t>
      </w:r>
    </w:p>
    <w:p>
      <w:r>
        <w:rPr>
          <w:color w:val="555555"/>
          <w:sz w:val="18"/>
        </w:rPr>
        <w:t xml:space="preserve">Verordnung zur Änderung des Statuts der Genossenschaftsbank Berlin und zu deren Umwandlung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Anlage II Kapitel IV Abschnitt III Nr. 5 des Einigungsvertrages vom 31. August 1990 in Verbindung mit Artikel 1 des Gesetzes vom 23. September 1990 (BGBl. 1990 II S. 885, 1199) verordnet der Bundesminister der Finanzen:</w:t>
      </w:r>
    </w:p>
    <w:p>
      <w:r>
        <w:rPr>
          <w:color w:val="555555"/>
          <w:sz w:val="17"/>
        </w:rPr>
        <w:t xml:space="preserve">Zitiervorschlag: Eingangsformel GBBStatÄndV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https://recht.nulegal.eu/gesetze/GBBStat%C3%84ndV/eingangsformel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GBBStatÄndV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