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GBAWidVertrAnO — Inkrafttreten</w:t>
      </w:r>
    </w:p>
    <w:p>
      <w:r>
        <w:rPr>
          <w:color w:val="555555"/>
          <w:sz w:val="18"/>
        </w:rPr>
        <w:t xml:space="preserve">Anordnung zur Übertragung der Zuständigkeit für den Erlass von Widerspruchsbescheiden sowie der Vertretung bei Klagen von Beamtinnen und Beamten des Generalbundesanwalts beim Bundesgerichtshof in Angelegenheiten der Besoldung</w:t>
      </w:r>
    </w:p>
    <w:p>
      <w:r>
        <w:rPr>
          <w:color w:val="555555"/>
          <w:sz w:val="18"/>
        </w:rPr>
        <w:t xml:space="preserve">Stand: 09.11.2022 (konsolidierte Textfassung, kein amtliches Inkrafttretensdatum)</w:t>
      </w:r>
    </w:p>
    <w:p>
      <w:r>
        <w:t xml:space="preserve">Diese Anordnung tritt am Tag nach der Veröffentlichung im Bundesgesetzblatt in Kraft.</w:t>
      </w:r>
    </w:p>
    <w:p>
      <w:r>
        <w:rPr>
          <w:color w:val="555555"/>
          <w:sz w:val="17"/>
        </w:rPr>
        <w:t xml:space="preserve">Zitiervorschlag: § 4 GBAWidVertrAnO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https://recht.nulegal.eu/gesetze/GBAWidVertrAnO/4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