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GAufzV 2017</w:t>
      </w:r>
    </w:p>
    <w:p>
      <w:r>
        <w:rPr>
          <w:color w:val="555555"/>
          <w:sz w:val="18"/>
        </w:rPr>
        <w:t xml:space="preserve">Gewinnabgrenzungsaufzeichnungs-Verordnung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90 Absatz 3 Satz 11 der Abgabenordnung, der durch Artikel 1 Nummer 2 des Gesetzes vom 20. Dezember 2016 (BGBl. I S. 3000)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GAufzV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https://recht.nulegal.eu/gesetze/GAufzV%202017/eingangsformel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