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GAufzV 2017 — (zu § 5) Umfang der Stammdokumentation</w:t>
      </w:r>
    </w:p>
    <w:p>
      <w:r>
        <w:rPr>
          <w:color w:val="555555"/>
          <w:sz w:val="18"/>
        </w:rPr>
        <w:t xml:space="preserve">Gewinnabgrenzungsaufzeichnungs-Verordnung</w:t>
      </w:r>
    </w:p>
    <w:p>
      <w:r>
        <w:rPr>
          <w:color w:val="555555"/>
          <w:sz w:val="18"/>
        </w:rPr>
        <w:t xml:space="preserve">Stand: 10.06.2019 (konsolidierte Textfassung, kein amtliches Inkrafttretensdatum)</w:t>
      </w:r>
    </w:p>
    <w:p>
      <w:r>
        <w:t xml:space="preserve">(Fundstelle: BGBl. I 2017, 2371)</w:t>
      </w:r>
    </w:p>
    <w:p>
      <w:r>
        <w:t xml:space="preserve">Die Stammdokumentation umfasst Folgendes:</w:t>
      </w:r>
    </w:p>
    <w:p>
      <w:pPr>
        <w:ind w:left="420"/>
      </w:pPr>
      <w:r>
        <w:t xml:space="preserve">1. grafische Darstellung des Organisationsaufbaus (Rechts- und Eigentümerstruktur) sowie der geografischen Verteilung der Gesellschaften und Betriebsstätten, die zur Unternehmensgruppe im Sinne des § 90 Absatz 3 der Abgabenordnung gehören;</w:t>
      </w:r>
    </w:p>
    <w:p>
      <w:pPr>
        <w:ind w:left="420"/>
      </w:pPr>
      <w:r>
        <w:t xml:space="preserve">2. Übersicht über bedeutende Faktoren für den Gesamtgewinn der Unternehmensgruppe;</w:t>
      </w:r>
    </w:p>
    <w:p>
      <w:pPr>
        <w:ind w:left="420"/>
      </w:pPr>
      <w:r>
        <w:t xml:space="preserve">3. Beschreibung der Lieferketten für die fünf Produkte oder Dienstleistungen der Unternehmensgruppe, die die höchsten Umsatzerlöse erzielen (eine aussagefähige Grafik oder ein entsprechendes Diagramm reicht aus);</w:t>
      </w:r>
    </w:p>
    <w:p>
      <w:pPr>
        <w:ind w:left="420"/>
      </w:pPr>
      <w:r>
        <w:t xml:space="preserve">4. Beschreibung der Lieferketten für alle weiteren Produkte oder Dienstleistungen, auf die jeweils mehr als 5 Prozent der Umsatzerlöse der Unternehmensgruppe entfallen (eine aussagefähige Grafik oder ein entsprechendes Diagramm reicht aus);</w:t>
      </w:r>
    </w:p>
    <w:p>
      <w:pPr>
        <w:ind w:left="420"/>
      </w:pPr>
      <w:r>
        <w:t xml:space="preserve">5. Auflistung und zusammenfassende Beschreibung wichtiger Dienstleistungsvereinbarungen zwischen Unternehmen der Unternehmensgruppe (ohne Forschungs- und Entwicklungsleistungen), einschließlich einer Beschreibung der Kapazitäten der Hauptstandorte, die bedeutende Dienstleistungen erbringen, sowie der Verrechnungspreispolitik für die Zuordnung der Dienstleistungskosten und für die Bestimmung der für konzerninterne Dienstleistungen zu zahlenden Preise;</w:t>
      </w:r>
    </w:p>
    <w:p>
      <w:pPr>
        <w:ind w:left="420"/>
      </w:pPr>
      <w:r>
        <w:t xml:space="preserve">6. Beschreibung der wichtigsten geografischen Märkte für die Produkte oder Dienstleistungen der Unternehmensgruppe (vgl. die Nummern 3 und 4);</w:t>
      </w:r>
    </w:p>
    <w:p>
      <w:pPr>
        <w:ind w:left="420"/>
      </w:pPr>
      <w:r>
        <w:t xml:space="preserve">7. zusammenfassende Funktionsanalyse, die die Hauptbeiträge beschreibt, die die einzelnen Unternehmen der Unternehmensgruppe zur Wertschöpfung leisten, das heißt die ausgeübten Schlüsselfunktionen, die wichtigen übernommenen Risiken und die wichtigen genutzten Vermögenswerte;</w:t>
      </w:r>
    </w:p>
    <w:p>
      <w:pPr>
        <w:ind w:left="420"/>
      </w:pPr>
      <w:r>
        <w:t xml:space="preserve">8. zusammenfassende Beschreibung bedeutender, während des Wirtschaftsjahres erfolgter Umstrukturierungen der Geschäftstätigkeit der Unternehmensgruppe sowie eine Auflistung und zusammenfassende Beschreibung der von der Unternehmensgruppe während des Wirtschaftsjahres vorgenommenen bedeutender Unternehmenskäufe und -verkäufe;</w:t>
      </w:r>
    </w:p>
    <w:p>
      <w:pPr>
        <w:ind w:left="420"/>
      </w:pPr>
      <w:r>
        <w:t xml:space="preserve">9. allgemeine Beschreibung der Gesamtstrategie der Unternehmensgruppe für immaterielle Werte (Entwicklung, Eigentum, Schutz und Verwertung), einschließlich einer Auflistung der Standorte der wichtigsten Forschungs- und Entwicklungseinrichtungen und der Standorte des Forschungs- und Entwicklungsmanagements;</w:t>
      </w:r>
    </w:p>
    <w:p>
      <w:pPr>
        <w:ind w:left="420"/>
      </w:pPr>
      <w:r>
        <w:t xml:space="preserve">10. Auflistung der immateriellen Werte oder der Gruppen immaterieller Werte der Unternehmensgruppe, die für die Verrechnungspreisbestimmung von Bedeutung sind, sowie der Unternehmen, die rechtliche Eigentümer oder Inhaber dieser immateriellen Werte sind;</w:t>
      </w:r>
    </w:p>
    <w:p>
      <w:pPr>
        <w:ind w:left="420"/>
      </w:pPr>
      <w:r>
        <w:t xml:space="preserve">11. Auflistung wichtiger Vereinbarungen zwischen den Unternehmen der Unternehmensgruppe mit Bezug zu den immateriellen Werten, einschließlich Kostenumlagevereinbarungen sowie wesentlicher Forschungsdienstleistungsvereinbarungen und Lizenzvereinbarungen;</w:t>
      </w:r>
    </w:p>
    <w:p>
      <w:pPr>
        <w:ind w:left="420"/>
      </w:pPr>
      <w:r>
        <w:t xml:space="preserve">12. allgemeine Beschreibung der Verrechnungspreispolitik der Unternehmensgruppe in Bezug auf Forschung und Entwicklung sowie auf immaterielle Werte;</w:t>
      </w:r>
    </w:p>
    <w:p>
      <w:pPr>
        <w:ind w:left="420"/>
      </w:pPr>
      <w:r>
        <w:t xml:space="preserve">13. allgemeine Beschreibung aller wichtigen Übertragungen von Rechten an immateriellen Werten zwischen den Unternehmen der Unternehmensgruppe während des betreffenden Wirtschaftsjahres, einschließlich der entsprechenden Unternehmen, Staaten und Vergütungen;</w:t>
      </w:r>
    </w:p>
    <w:p>
      <w:pPr>
        <w:ind w:left="420"/>
      </w:pPr>
      <w:r>
        <w:t xml:space="preserve">14. allgemeine Beschreibung, wie die Unternehmensgruppe finanziert wird, einschließlich der Darstellung bedeutender Finanzierungsbeziehungen zu fremden Dritten;</w:t>
      </w:r>
    </w:p>
    <w:p>
      <w:pPr>
        <w:ind w:left="420"/>
      </w:pPr>
      <w:r>
        <w:t xml:space="preserve">15. Angabe derjenigen Unternehmen der Unternehmensgruppe, die eine zentrale Finanzierungs-, Cashmanagement- oder Assetmanagementfunktion ausüben, mit der Angabe, nach welchem Recht das jeweilige Unternehmen organisiert ist, und mit der Angabe des Orts der tatsächlichen Geschäftsleitung des jeweiligen Unternehmens;</w:t>
      </w:r>
    </w:p>
    <w:p>
      <w:pPr>
        <w:ind w:left="420"/>
      </w:pPr>
      <w:r>
        <w:t xml:space="preserve">16. allgemeine Beschreibung der Verrechnungspreisstrategie der Unternehmensgruppe in Bezug auf Finanzierungsbeziehungen innerhalb dieser Unternehmensgruppe;</w:t>
      </w:r>
    </w:p>
    <w:p>
      <w:pPr>
        <w:ind w:left="420"/>
      </w:pPr>
      <w:r>
        <w:t xml:space="preserve">17. Konzernabschluss der Unternehmensgruppe für das betreffende Wirtschaftsjahr, sofern ein solcher erstellt wurde;</w:t>
      </w:r>
    </w:p>
    <w:p>
      <w:pPr>
        <w:ind w:left="420"/>
      </w:pPr>
      <w:r>
        <w:t xml:space="preserve">18. Auflistung und kurze Beschreibung der bestehenden unilateralen Vorabverständigungen über die Verrechnungspreisgestaltung der Unternehmensgruppe sowie anderer Vorabzusagen im Zusammenhang mit der Aufteilung der Erträge zwischen den Staaten.</w:t>
      </w:r>
    </w:p>
    <w:p>
      <w:r>
        <w:t xml:space="preserve">Soweit in Satz 1 unbestimmte Rechtsbegriffe verwendet werden, wird dem Unternehmen ein eigenständiger Beurteilungsspielraum eingeräumt unter der Voraussetzung, dass der Beurteilungsspielraum international einheitlich und nach offengelegten Kriterien sowie über das jeweilige Wirtschaftsjahr hinaus konsistent genutzt wird.</w:t>
      </w:r>
    </w:p>
    <w:p>
      <w:r>
        <w:rPr>
          <w:color w:val="555555"/>
          <w:sz w:val="17"/>
        </w:rPr>
        <w:t xml:space="preserve">Zitiervorschlag: Anlage GAufzV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https://recht.nulegal.eu/gesetze/GAufzV%202017/anlage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