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GAufzV 2017 — Schlussvorschrift</w:t>
      </w:r>
    </w:p>
    <w:p>
      <w:r>
        <w:rPr>
          <w:color w:val="555555"/>
          <w:sz w:val="18"/>
        </w:rPr>
        <w:t xml:space="preserve">Gewinnabgrenzungsaufzeichnungs-Verordnung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ist erstmals für Wirtschaftsjahre anzuwenden, die nach dem 31. Dezember 2016 beginnen.</w:t>
      </w:r>
    </w:p>
    <w:p>
      <w:r>
        <w:rPr>
          <w:color w:val="555555"/>
          <w:sz w:val="17"/>
        </w:rPr>
        <w:t xml:space="preserve">Zitiervorschlag: § 7 GAufzV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https://recht.nulegal.eu/gesetze/GAufzV%202017/7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