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GAufzV 2017 — Stammdokumentation</w:t>
      </w:r>
    </w:p>
    <w:p>
      <w:r>
        <w:rPr>
          <w:color w:val="555555"/>
          <w:sz w:val="18"/>
        </w:rPr>
        <w:t xml:space="preserve">Gewinnabgrenzungsaufzeichnungs-Verordnung</w:t>
      </w:r>
    </w:p>
    <w:p>
      <w:r>
        <w:rPr>
          <w:color w:val="555555"/>
          <w:sz w:val="18"/>
        </w:rPr>
        <w:t xml:space="preserve">Stand: 10.06.2019 (konsolidierte Textfassung, kein amtliches Inkrafttretensdatum)</w:t>
      </w:r>
    </w:p>
    <w:p>
      <w:r>
        <w:t xml:space="preserve">(1) Steuerpflichtige, die nach § 90 Absatz 3 Satz 3 und 4 der Abgabenordnung eine Stammdokumentation zu erstellen haben, haben die in der Anlage zu dieser Verordnung aufgeführten Aufzeichnungen zu erstellen und entsprechende Unterlagen vorzulegen, um der Finanzbehörde einen Überblick über die Art der weltweiten Geschäftstätigkeit der Unternehmensgruppe und über die Systematik der Verrechnungspreisbestimmung, die die Unternehmensgruppe anwendet, zu ermöglichen. Der Steuerpflichtige kann auch Aufzeichnungen verwenden, die von einem anderen Unternehmen derselben Unternehmensgruppe erstellt wurden. Soweit erforderlich, sind diese Aufzeichnungen um weitere Angaben entsprechend der Anlage zu dieser Verordnung zu ergänzen. § 2 Absatz 5 bleibt unberührt.</w:t>
      </w:r>
    </w:p>
    <w:p>
      <w:r>
        <w:t xml:space="preserve">(2) Der Steuerpflichtige soll bei der Erstellung der Stammdokumentation eine vernünftige kaufmännische Beurteilung zugrunde legen, um die mit der Stammdokumentation verbundenen Ziele mit angemessenem Aufwand zu erreichen.</w:t>
      </w:r>
    </w:p>
    <w:p>
      <w:r>
        <w:rPr>
          <w:color w:val="555555"/>
          <w:sz w:val="17"/>
        </w:rPr>
        <w:t xml:space="preserve">Zitiervorschlag: § 5 GAufzV 2017</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https://recht.nulegal.eu/gesetze/GAufzV%202017/5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