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GASV</w:t>
      </w:r>
    </w:p>
    <w:p>
      <w:r>
        <w:rPr>
          <w:color w:val="555555"/>
          <w:sz w:val="18"/>
        </w:rPr>
        <w:t xml:space="preserve">Grundlegende Anforderungen- und Schnittstellen-Verordnung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Abs. 3 und des § 4 Abs. 2 des Gesetzes über Funkanlagen und Telekommunikationsendeinrichtungen vom 31. Januar 2001 (BGBl. I S. 170) verordnet das Bundesministerium für Wirtschaft und Technologie:</w:t>
      </w:r>
    </w:p>
    <w:p>
      <w:r>
        <w:rPr>
          <w:color w:val="555555"/>
          <w:sz w:val="17"/>
        </w:rPr>
        <w:t xml:space="preserve">Zitiervorschlag: Eingangsformel GASV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