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GASV</w:t>
      </w:r>
    </w:p>
    <w:p>
      <w:r>
        <w:rPr>
          <w:color w:val="555555"/>
          <w:sz w:val="18"/>
        </w:rPr>
        <w:t xml:space="preserve">Grundlegende Anforderungen- und Schnittstellen-Verordnung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2006, 1435)</w:t>
      </w:r>
    </w:p>
    <w:p>
      <w:r>
        <w:rPr>
          <w:rFonts w:ascii="Courier New" w:hAnsi="Courier New"/>
          <w:sz w:val="17"/>
        </w:rPr>
        <w:t xml:space="preserve">Lfd.Nr.    Entscheidung der Kommission    Fundstelle</w:t>
      </w:r>
    </w:p>
    <w:p>
      <w:r>
        <w:rPr>
          <w:rFonts w:ascii="Courier New" w:hAnsi="Courier New"/>
          <w:sz w:val="17"/>
        </w:rPr>
        <w:t xml:space="preserve">1    Entscheidung der Kommission vom 6. April 2000 über die Festlegung einer vorläufigen Einstufung von Funkanlagen und Telekommunikationsendeinrichtungen sowie der entsprechenden Kennungen (2000/299/EG)    Amtsblatt der Europäischen Gemeinschaften vom 19. April 2000, Nr. L 97 S. 13</w:t>
      </w:r>
    </w:p>
    <w:p>
      <w:r>
        <w:rPr>
          <w:color w:val="555555"/>
          <w:sz w:val="17"/>
        </w:rPr>
        <w:t xml:space="preserve">Zitiervorschlag: Anlage 2 GASV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