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GASV</w:t>
      </w:r>
    </w:p>
    <w:p>
      <w:r>
        <w:rPr>
          <w:color w:val="555555"/>
          <w:sz w:val="18"/>
        </w:rPr>
        <w:t xml:space="preserve">Grundlegende Anforderungen- und Schnittstellen-Verordnung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2014, 313)</w:t>
      </w:r>
    </w:p>
    <w:p>
      <w:r>
        <w:rPr>
          <w:rFonts w:ascii="Courier New" w:hAnsi="Courier New"/>
          <w:sz w:val="17"/>
        </w:rPr>
        <w:t xml:space="preserve">Lfd. Nr.    Entscheidung der Kommission    Fundstelle</w:t>
      </w:r>
    </w:p>
    <w:p>
      <w:r>
        <w:rPr>
          <w:rFonts w:ascii="Courier New" w:hAnsi="Courier New"/>
          <w:sz w:val="17"/>
        </w:rPr>
        <w:t xml:space="preserve">1    Entscheidung der Kommission vom 22. September 2000 über die Anwendung von Artikel 3 Absatz 3 Buchstabe e) der Richtlinie 1999/5/EG auf Funkanlagen, die der Regionalen Vereinbarung über den Binnenschifffahrtsfunk unterliegen (2000/637/EG)    ABl. L 269 vom 21.10.2000, S. 50</w:t>
      </w:r>
    </w:p>
    <w:p>
      <w:r>
        <w:rPr>
          <w:rFonts w:ascii="Courier New" w:hAnsi="Courier New"/>
          <w:sz w:val="17"/>
        </w:rPr>
        <w:t xml:space="preserve">2    Entscheidung der Kommission vom 21. Februar 2001 über die Anwendung von Artikel 3 Absatz 3 Buchstabe e) der Richtlinie 1999/5/EG auf Lawinenverschüttetensuchgeräte (2001/148/EG)    ABl. L 55 vom 24.2.2001, S. 65</w:t>
      </w:r>
    </w:p>
    <w:p>
      <w:r>
        <w:rPr>
          <w:rFonts w:ascii="Courier New" w:hAnsi="Courier New"/>
          <w:sz w:val="17"/>
        </w:rPr>
        <w:t xml:space="preserve">3    Entscheidung der Kommission vom 25. Januar 2005 über die Anwendung von Artikel 3 Absatz 3 Buch-stabe e) der Richtlinie 1999/5/EG des Europäischen Parlaments und des Rates auf Funkanlagen des automatischen Schiffsidentifizierungssystems (AIS) (2005/53/EG)    ABl. L 22 vom 26.1.2005, S. 14</w:t>
      </w:r>
    </w:p>
    <w:p>
      <w:r>
        <w:rPr>
          <w:rFonts w:ascii="Courier New" w:hAnsi="Courier New"/>
          <w:sz w:val="17"/>
        </w:rPr>
        <w:t xml:space="preserve">4    Entscheidung der Kommission vom 29. August 2005 über grundlegende Anforderungen in Sinne der Richtlinie 1999/5/EG des Europäischen Parlaments und des Rates zur Sicherstellung des Zugangs von Cospas-Sarsat-Ortungsbaken zu Notfalldiensten (2005/631/EG)    ABl. L 225 vom 31.8.2005, S. 28</w:t>
      </w:r>
    </w:p>
    <w:p>
      <w:r>
        <w:rPr>
          <w:rFonts w:ascii="Courier New" w:hAnsi="Courier New"/>
          <w:sz w:val="17"/>
        </w:rPr>
        <w:t xml:space="preserve">5    Beschluss der Kommission vom 12. August 2013 über grundlegende Anforderungen an Seefunkanlagen, die auf nicht dem SOLAS-Übereinkommen unterliegenden Schiffen eingesetzt werden und am weltweiten Seenot- und Sicherheitsfunksystem (GMDSS) teilnehmen sollen (2013/638/EU)    ABl. L 296 vom 7.11.2013, S. 22</w:t>
      </w:r>
    </w:p>
    <w:p>
      <w:r>
        <w:rPr>
          <w:color w:val="555555"/>
          <w:sz w:val="17"/>
        </w:rPr>
        <w:t xml:space="preserve">Zitiervorschlag: Anlage 1 GASV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https://recht.nulegal.eu/gesetze/GASV/anlage-1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