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GASV — Inkrafttreten</w:t>
      </w:r>
    </w:p>
    <w:p>
      <w:r>
        <w:rPr>
          <w:color w:val="555555"/>
          <w:sz w:val="18"/>
        </w:rPr>
        <w:t xml:space="preserve">Grundlegende Anforderungen- und Schnittstellen-Verordnung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GASV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