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GASV — Äquivalenzen von Schnittstellen und Geräteklassenkennungen</w:t>
      </w:r>
    </w:p>
    <w:p>
      <w:r>
        <w:rPr>
          <w:color w:val="555555"/>
          <w:sz w:val="18"/>
        </w:rPr>
        <w:t xml:space="preserve">Grundlegende Anforderungen- und Schnittstellen-Verordnung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von der Europäischen Kommission festgestellten Äquivalenzen nationaler Schnittstellen sowie die von ihr vergebenen Geräteklassenkennungen werden nach Anlage 2 bestimmt.</w:t>
      </w:r>
    </w:p>
    <w:p>
      <w:r>
        <w:rPr>
          <w:color w:val="555555"/>
          <w:sz w:val="17"/>
        </w:rPr>
        <w:t xml:space="preserve">Zitiervorschlag: § 2 GASV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