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GAPSubdelV (Brandenburg) — Inkrafttreten, Außerkrafttreten</w:t>
      </w:r>
    </w:p>
    <w:p>
      <w:r>
        <w:rPr>
          <w:color w:val="555555"/>
          <w:sz w:val="18"/>
        </w:rPr>
        <w:t xml:space="preserve">GAP-Subdelegationsverordnung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zur Übertragung von Ermächtigungen zum Erlass von Rechtsverordnungen nach dem Gesetz zur Durchführung der Gemeinsamen Marktorganisationen und der Direktzahlungen vom 12. September 2005 ( GVBl. II S. 477), die durch die Verordnung vom 14. Januar 2010 (GVBl. II Nr. 4) geändert worden ist, außer Kraft.</w:t>
      </w:r>
    </w:p>
    <w:p>
      <w:r>
        <w:t xml:space="preserve">Potsdam, den 18. Januar 2023</w:t>
      </w:r>
    </w:p>
    <w:p>
      <w:r>
        <w:t xml:space="preserve">Die Landesregierung</w:t>
      </w:r>
    </w:p>
    <w:p>
      <w:r>
        <w:t xml:space="preserve">des Landes Brandenburg</w:t>
      </w:r>
    </w:p>
    <w:p>
      <w:r>
        <w:t xml:space="preserve">Der Ministerpräsident</w:t>
      </w:r>
    </w:p>
    <w:p>
      <w:r>
        <w:t xml:space="preserve">Dr. Dietmar Woidke</w:t>
      </w:r>
    </w:p>
    <w:p>
      <w:r>
        <w:t xml:space="preserve">Der Minister für Landwirtschaft,</w:t>
      </w:r>
    </w:p>
    <w:p>
      <w:r>
        <w:t xml:space="preserve">Umwelt und Klimaschutz</w:t>
      </w:r>
    </w:p>
    <w:p>
      <w:r>
        <w:t xml:space="preserve">Axel Vogel</w:t>
      </w:r>
    </w:p>
    <w:p>
      <w:r>
        <w:rPr>
          <w:color w:val="555555"/>
          <w:sz w:val="17"/>
        </w:rPr>
        <w:t xml:space="preserve">Zitiervorschlag: § 2 GAPSubdelV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https://recht.nulegal.eu/gesetze/GAPSubdelV/2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