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GAPSubdelV (Brandenburg) — Verordnungsermächtigungen</w:t>
      </w:r>
    </w:p>
    <w:p>
      <w:r>
        <w:rPr>
          <w:color w:val="555555"/>
          <w:sz w:val="18"/>
        </w:rPr>
        <w:t xml:space="preserve">GAP-Subdelegationsverordnung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Ermächtigungen der Landesregierung zum Erlass von Rechtsverordnungen</w:t>
      </w:r>
    </w:p>
    <w:p>
      <w:r>
        <w:t xml:space="preserve">nach § 23 Absatz 4 Satz 1 in Verbindung mit Absatz 1 des GAP-Konditionalitäten-Gesetzes sowie in Verbindung mit § 11, § 15 Absatz 2 Satz 2, § 16 Absatz 1 Satz 2 bis 4 und Absatz 5 und § 23 Absatz 4 der GAP-Konditionalitäten-Verordnung,</w:t>
      </w:r>
    </w:p>
    <w:p>
      <w:r>
        <w:t xml:space="preserve">nach § 6 Absatz 5 Satz 1 und 2 in Verbindung mit Absatz 1 Nummer 2 des Marktorganisationsgesetzes sowie in Verbindung mit § 2 des GAP-Direktzahlungen-Gesetzes und § 17 Absatz 3 bis 5 der GAP-Direktzahlungen-Verordnung,</w:t>
      </w:r>
    </w:p>
    <w:p>
      <w:r>
        <w:t xml:space="preserve">nach § 17 Absatz 3 Satz 1 in Verbindung mit Absatz 1 des GAP-Integriertes Verwaltungs- und Kontrollsystem-Gesetzes sowie in Verbindung mit § 3 Absatz 3 Satz 3 und Absatz 4, § 5 Absatz 1, § 6 Satz 2, § 21 Absatz 2 und § 32 Absatz 3 der GAPInVeKoS-Verordnung sowie</w:t>
      </w:r>
    </w:p>
    <w:p>
      <w:r>
        <w:t xml:space="preserve">zur Bestimmung der zuständigen Behörden nach § 6 Absatz 2 des Landesorganisationsgesetzes in Verbindung mit dem GAP-Konditionalitäten-Gesetz sowie aufgrund dieses Gesetzes erlassener Rechtsverordnungen</w:t>
      </w:r>
    </w:p>
    <w:p>
      <w:r>
        <w:t xml:space="preserve">werden auf das für Landwirtschaft zuständige Mitglied der Landesregierung übertragen.</w:t>
      </w:r>
    </w:p>
    <w:p>
      <w:r>
        <w:rPr>
          <w:color w:val="555555"/>
          <w:sz w:val="17"/>
        </w:rPr>
        <w:t xml:space="preserve">Zitiervorschlag: § 1 GAPSubdelV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https://recht.nulegal.eu/gesetze/GAPSubdelV/1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