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GAPStatV</w:t>
      </w:r>
    </w:p>
    <w:p>
      <w:r>
        <w:rPr>
          <w:color w:val="555555"/>
          <w:sz w:val="18"/>
        </w:rPr>
        <w:t xml:space="preserve">Gesundheitsausgaben- und -personalstatistikverordnung</w:t>
      </w:r>
    </w:p>
    <w:p>
      <w:r>
        <w:rPr>
          <w:color w:val="555555"/>
          <w:sz w:val="18"/>
        </w:rPr>
        <w:t xml:space="preserve">Stand: 20.12.2023 (konsolidierte Textfassung, kein amtliches Inkrafttretensdatum)</w:t>
      </w:r>
    </w:p>
    <w:p>
      <w:r>
        <w:t xml:space="preserve">Auf Grund des § 8 des Gesundheitsausgaben- und -personalstatistikgesetzes vom 11. Juli 2021 (BGBl. I S. 2754, 2799) verordnet das Bundesministerium für Gesundheit:</w:t>
      </w:r>
    </w:p>
    <w:p>
      <w:r>
        <w:rPr>
          <w:color w:val="555555"/>
          <w:sz w:val="17"/>
        </w:rPr>
        <w:t xml:space="preserve">Zitiervorschlag: Eingangsformel GAPStatV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https://recht.nulegal.eu/gesetze/GAPStatV/eingangsformel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