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GAPStatV — Übermittlungspflichten des AOK-Bundesverbands</w:t>
      </w:r>
    </w:p>
    <w:p>
      <w:r>
        <w:rPr>
          <w:color w:val="555555"/>
          <w:sz w:val="18"/>
        </w:rPr>
        <w:t xml:space="preserve">Gesundheitsausgaben- und -personalstatistikverordnung</w:t>
      </w:r>
    </w:p>
    <w:p>
      <w:r>
        <w:rPr>
          <w:color w:val="555555"/>
          <w:sz w:val="18"/>
        </w:rPr>
        <w:t xml:space="preserve">Stand: 20.12.2023 (konsolidierte Textfassung, kein amtliches Inkrafttretensdatum)</w:t>
      </w:r>
    </w:p>
    <w:p>
      <w:r>
        <w:t xml:space="preserve">Der AOK-Bundesverband übermittelt dem Statistischen Bundesamt für Zwecke der Krankheitskostenstatistik jährlich, spätestens bis zum 31. März des zweiten dem Berichtsjahr folgenden Kalenderjahres,</w:t>
      </w:r>
    </w:p>
    <w:p>
      <w:pPr>
        <w:ind w:left="420"/>
      </w:pPr>
      <w:r>
        <w:t xml:space="preserve">1. die anteiligen Heilmittelumsätze, gegliedert nach Diagnosecodes nach der Internationalen statistischen Klassifikation der Krankheiten und verwandter Gesundheitsprobleme (ICD), Leistungsbereichen, Alter und Geschlecht, sowie</w:t>
      </w:r>
    </w:p>
    <w:p>
      <w:pPr>
        <w:ind w:left="420"/>
      </w:pPr>
      <w:r>
        <w:t xml:space="preserve">2. die anteiligen Arzneimittelkosten, gegliedert nach ICD-Diagnosecodes, Alter und Geschlecht.</w:t>
      </w:r>
    </w:p>
    <w:p>
      <w:r>
        <w:rPr>
          <w:color w:val="555555"/>
          <w:sz w:val="17"/>
        </w:rPr>
        <w:t xml:space="preserve">Zitiervorschlag: § 8 GAPStatV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https://recht.nulegal.eu/gesetze/GAPStatV/8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