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GAPStatV — Übermittlungspflichten der Kassenzahnärztlichen Bundesvereinigung</w:t>
      </w:r>
    </w:p>
    <w:p>
      <w:r>
        <w:rPr>
          <w:color w:val="555555"/>
          <w:sz w:val="18"/>
        </w:rPr>
        <w:t xml:space="preserve">Gesundheitsausgaben- und -personalstatistikverordnung</w:t>
      </w:r>
    </w:p>
    <w:p>
      <w:r>
        <w:rPr>
          <w:color w:val="555555"/>
          <w:sz w:val="18"/>
        </w:rPr>
        <w:t xml:space="preserve">Stand: 20.12.2023 (konsolidierte Textfassung, kein amtliches Inkrafttretensdatum)</w:t>
      </w:r>
    </w:p>
    <w:p>
      <w:r>
        <w:t xml:space="preserve">Die Kassenzahnärztliche Bundesvereinigung übermittelt dem Statistischen Bundesamt für Zwecke der Gesundheitsausgabenstatistik jährlich, spätestens bis zum 31. Dezember des dem Berichtsjahr folgenden Kalenderjahres, folgende Angaben aus ihrer Frequenzstatistik:</w:t>
      </w:r>
    </w:p>
    <w:p>
      <w:pPr>
        <w:ind w:left="420"/>
      </w:pPr>
      <w:r>
        <w:t xml:space="preserve">1. die Gesamtkosten und der Anteil der für in der gesetzlichen Krankenversicherung Versicherte entstandenen Kosten an den Gesamtkosten im Bereich Zahnersatz unter Einbeziehung der Direktabrechnungsfälle,</w:t>
      </w:r>
    </w:p>
    <w:p>
      <w:pPr>
        <w:ind w:left="420"/>
      </w:pPr>
      <w:r>
        <w:t xml:space="preserve">2. die Angabe, wie sich die Gesamtkosten im Bereich Zahnersatz auf die Positionen Honorar sowie Material- und Laborkosten aufteilen und</w:t>
      </w:r>
    </w:p>
    <w:p>
      <w:pPr>
        <w:ind w:left="420"/>
      </w:pPr>
      <w:r>
        <w:t xml:space="preserve">3. die Ausgaben im Bereich Kieferorthopädie für Honorar sowie Material- und Laborkosten, gegliedert nach Versichertenanteil und Zuschuss der Krankenkassen.</w:t>
      </w:r>
    </w:p>
    <w:p>
      <w:r>
        <w:rPr>
          <w:color w:val="555555"/>
          <w:sz w:val="17"/>
        </w:rPr>
        <w:t xml:space="preserve">Zitiervorschlag: § 3 GAPStatV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https://recht.nulegal.eu/gesetze/GAPStatV/3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