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GAPStatV — Keine Beschaffungspflicht</w:t>
      </w:r>
    </w:p>
    <w:p>
      <w:r>
        <w:rPr>
          <w:color w:val="555555"/>
          <w:sz w:val="18"/>
        </w:rPr>
        <w:t xml:space="preserve">Gesundheitsausgaben- und -personalstatistikverordnung</w:t>
      </w:r>
    </w:p>
    <w:p>
      <w:r>
        <w:rPr>
          <w:color w:val="555555"/>
          <w:sz w:val="18"/>
        </w:rPr>
        <w:t xml:space="preserve">Stand: 20.12.2023 (konsolidierte Textfassung, kein amtliches Inkrafttretensdatum)</w:t>
      </w:r>
    </w:p>
    <w:p>
      <w:r>
        <w:t xml:space="preserve">Die in dieser Verordnung geregelten Übermittlungspflichten umfassen nicht die Pflicht für die jeweilige Einrichtung, sich die zu übermittelnden Daten zu beschaffen.</w:t>
      </w:r>
    </w:p>
    <w:p>
      <w:r>
        <w:rPr>
          <w:color w:val="555555"/>
          <w:sz w:val="17"/>
        </w:rPr>
        <w:t xml:space="preserve">Zitiervorschlag: § 16 GAPStatV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https://recht.nulegal.eu/gesetze/GAPStatV/16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