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GAPStatG — Regionales Gesundheitspersonalmonitoring</w:t>
      </w:r>
    </w:p>
    <w:p>
      <w:r>
        <w:rPr>
          <w:color w:val="555555"/>
          <w:sz w:val="18"/>
        </w:rPr>
        <w:t xml:space="preserve">Gesundheitsausgaben- und -personalstatistikgesetz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Die Statistik nach § 1 Absatz 2 Nummer 4 erfasst folgende Sachverhalte:</w:t>
      </w:r>
    </w:p>
    <w:p>
      <w:pPr>
        <w:ind w:left="420"/>
      </w:pPr>
      <w:r>
        <w:t xml:space="preserve">1. das Personal als Beschäftigungsverhältnisse pro Kreis oder kreisfreier Stadt in ambulanten und stationären sowie teilstationären Pflegeeinrichtungen, Krankenhäusern und Vorsorge- oder Rehabilitationseinrichtungen sowie im öffentlichen Gesundheitsdienst nach Berufs- oder Hochschulabschluss, ausgeübtem Beruf, Tätigkeits- oder Funktionsbereich, Geschlecht, Geburtsjahr und Beschäftigungsart,</w:t>
      </w:r>
    </w:p>
    <w:p>
      <w:pPr>
        <w:ind w:left="420"/>
      </w:pPr>
      <w:r>
        <w:t xml:space="preserve">2. das Personal als Vollzeitäquivalente pro Kreis oder kreisfreier Stadt in ambulanten und stationären sowie teilstationären Pflegeeinrichtungen, nach Einrichtungsart, Berufs- oder Hochschulabschluss, Tätigkeitsbereich, Arbeitsanteil für die Pflegeeinrichtung sowie Geschlecht und Geburtsjahr.</w:t>
      </w:r>
    </w:p>
    <w:p>
      <w:r>
        <w:t xml:space="preserve">Darüber hinaus dürfen folgende Sachverhalte erfasst werden:</w:t>
      </w:r>
    </w:p>
    <w:p>
      <w:pPr>
        <w:ind w:left="420"/>
      </w:pPr>
      <w:r>
        <w:t xml:space="preserve">1. das Personal zum Erhebungsstichtag in Krankenhäusern und Vorsorge- oder Rehabilitationseinrichtungen sowie im öffentlichen Gesundheitsdienst pro Kreis oder kreisfreier Stadt nach Arbeitsstunden, Beschäftigungsart, ausgeübtem Beruf, Funktionsbereich, Geschlecht und Geburtsjahr,</w:t>
      </w:r>
    </w:p>
    <w:p>
      <w:pPr>
        <w:ind w:left="420"/>
      </w:pPr>
      <w:r>
        <w:t xml:space="preserve">2. Anzahl der Pflegebedürftigen pro Kreis oder kreisfreier Stadt nach Geschlecht, Geburtsjahr, Wohnort, Sitz und Art der Einrichtung, Art der in Anspruch genommenen Pflegeleistung und Grad der Pflegebedürftigkeit sowie</w:t>
      </w:r>
    </w:p>
    <w:p>
      <w:pPr>
        <w:ind w:left="420"/>
      </w:pPr>
      <w:r>
        <w:t xml:space="preserve">3. Anzahl der Patientinnen und Patienten in Krankenhäusern und Vorsorge- oder Rehabilitationseinrichtungen nach Kreis oder kreisfreier Stadt des Behandlungsortes, Wohnort der Patientinnen und Patienten sowie nach Geschlecht, Geburtsjahr, Hauptdiagnose und Verweildauer.</w:t>
      </w:r>
    </w:p>
    <w:p>
      <w:r>
        <w:t xml:space="preserve">(2) Das regionale Gesundheitspersonalmonitoring wird auf Grundlage von Bundesstatistiken sowie Daten aus allgemein zugänglichen Quellen erstellt. Zusätzlich erfolgt die Erhebung der zur Erstellung der Statistik erforderlichen Angaben zu den in Absatz 1 genannten Sachverhalten bei der Bundesagentur für Arbeit, bei den Behörden und Einrichtungen des Öffentlichen Gesundheitsdienstes und bei den Landesministerien.</w:t>
      </w:r>
    </w:p>
    <w:p>
      <w:r>
        <w:t xml:space="preserve">(3) Die Erhebung der Angaben erfolgt in der für die Erstellung der Statistik erforderlichen Periodizität, höchstens jedoch jährlich.</w:t>
      </w:r>
    </w:p>
    <w:p>
      <w:r>
        <w:rPr>
          <w:color w:val="555555"/>
          <w:sz w:val="17"/>
        </w:rPr>
        <w:t xml:space="preserve">Zitiervorschlag: § 5 GAPStatG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https://recht.nulegal.eu/gesetze/GAPStatG/5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