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Anlage 7 GAPKondV — (zu § 22) Vorschriften der sozialen Konditionalität</w:t>
      </w:r>
    </w:p>
    <w:p>
      <w:r>
        <w:rPr>
          <w:color w:val="555555"/>
          <w:sz w:val="18"/>
        </w:rPr>
        <w:t xml:space="preserve">GAP-Konditionalitäten-Verordnung</w:t>
      </w:r>
    </w:p>
    <w:p>
      <w:r>
        <w:rPr>
          <w:color w:val="555555"/>
          <w:sz w:val="18"/>
        </w:rPr>
        <w:t xml:space="preserve">Stand: 08.05.2025 (konsolidierte Textfassung, kein amtliches Inkrafttretensdatum)</w:t>
      </w:r>
    </w:p>
    <w:p>
      <w:r>
        <w:t xml:space="preserve">(Fundstelle: BGBl. 2024 I Nr. 417, S. 8; bzgl. der einzelnen Änderungen vgl. Fußnote)</w:t>
      </w:r>
    </w:p>
    <w:p>
      <w:r>
        <w:rPr>
          <w:rFonts w:ascii="Courier New" w:hAnsi="Courier New"/>
          <w:sz w:val="17"/>
        </w:rPr>
        <w:t xml:space="preserve">        Rechtsvorschrift    Anzuwendende Bestimmungen    </w:t>
      </w:r>
    </w:p>
    <w:p>
      <w:r>
        <w:rPr>
          <w:rFonts w:ascii="Courier New" w:hAnsi="Courier New"/>
          <w:sz w:val="17"/>
        </w:rPr>
        <w:t xml:space="preserve">    1.    Nachweisgesetz    § 2 Absatz 1, § 3 in Verbindung mit § 2 Absatz 1    </w:t>
      </w:r>
    </w:p>
    <w:p>
      <w:r>
        <w:rPr>
          <w:rFonts w:ascii="Courier New" w:hAnsi="Courier New"/>
          <w:sz w:val="17"/>
        </w:rPr>
        <w:t xml:space="preserve">    2.    Arbeitnehmerüberlassungsgesetz    § 11 Absatz 1 Satz 1 und Absatz 2 Satz 4 Halbsatz 2    </w:t>
      </w:r>
    </w:p>
    <w:p>
      <w:r>
        <w:rPr>
          <w:rFonts w:ascii="Courier New" w:hAnsi="Courier New"/>
          <w:sz w:val="17"/>
        </w:rPr>
        <w:t xml:space="preserve">    3.    Arbeitsschutzgesetz    §§ 3 bis 6, 9, 10, 12 und 17    </w:t>
      </w:r>
    </w:p>
    <w:p>
      <w:r>
        <w:rPr>
          <w:rFonts w:ascii="Courier New" w:hAnsi="Courier New"/>
          <w:sz w:val="17"/>
        </w:rPr>
        <w:t xml:space="preserve">    4.    Arbeitssicherheitsgesetz    §§ 2, 5 und 11    </w:t>
      </w:r>
    </w:p>
    <w:p>
      <w:r>
        <w:rPr>
          <w:rFonts w:ascii="Courier New" w:hAnsi="Courier New"/>
          <w:sz w:val="17"/>
        </w:rPr>
        <w:t xml:space="preserve">    5.    Betriebssicherheitsverordnung    §§ 4 bis 6, 10, 12 und 14    </w:t>
      </w:r>
    </w:p>
    <w:p>
      <w:r>
        <w:rPr>
          <w:rFonts w:ascii="Courier New" w:hAnsi="Courier New"/>
          <w:sz w:val="17"/>
        </w:rPr>
        <w:t xml:space="preserve">    6.    Teilzeit- und Befristungsgesetz    § 12 Absatz 3 und § 15 Absatz 3    </w:t>
      </w:r>
    </w:p>
    <w:p>
      <w:r>
        <w:rPr>
          <w:rFonts w:ascii="Courier New" w:hAnsi="Courier New"/>
          <w:sz w:val="17"/>
        </w:rPr>
        <w:t xml:space="preserve">    7.    Bürgerliches Gesetzbuch    § 622 Absatz 3    </w:t>
      </w:r>
    </w:p>
    <w:p>
      <w:r>
        <w:rPr>
          <w:rFonts w:ascii="Courier New" w:hAnsi="Courier New"/>
          <w:sz w:val="17"/>
        </w:rPr>
        <w:t xml:space="preserve">    8.    Berufsbildungsgesetz    §§ 11 und 20    </w:t>
      </w:r>
    </w:p>
    <w:p>
      <w:r>
        <w:rPr>
          <w:rFonts w:ascii="Courier New" w:hAnsi="Courier New"/>
          <w:sz w:val="17"/>
        </w:rPr>
        <w:t xml:space="preserve">    9.    Gewerbeordnung    § 111    </w:t>
      </w:r>
    </w:p>
    <w:p>
      <w:r>
        <w:rPr>
          <w:color w:val="555555"/>
          <w:sz w:val="17"/>
        </w:rPr>
        <w:t xml:space="preserve">Zitiervorschlag: Anlage 7 GAPKondV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https://recht.nulegal.eu/gesetze/GAPKondV/anlage-7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Anlage 7 GAPKondV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