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GAPKondV — (zu § 11) Bodentypen und Legendeneinheiten nach aktueller deutscher Bodensystematik und daran angelehnten Kartenwerken</w:t>
      </w:r>
    </w:p>
    <w:p>
      <w:r>
        <w:rPr>
          <w:color w:val="555555"/>
          <w:sz w:val="18"/>
        </w:rPr>
        <w:t xml:space="preserve">GAP-Konditionalitäten-Verordnung</w:t>
      </w:r>
    </w:p>
    <w:p>
      <w:r>
        <w:rPr>
          <w:color w:val="555555"/>
          <w:sz w:val="18"/>
        </w:rPr>
        <w:t xml:space="preserve">Stand: 14.12.2022 (konsolidierte Textfassung, kein amtliches Inkrafttretensdatum)</w:t>
      </w:r>
    </w:p>
    <w:p>
      <w:r>
        <w:t xml:space="preserve">(Fundstelle: BGBl. I 2022, 2257)</w:t>
      </w:r>
    </w:p>
    <w:p>
      <w:r>
        <w:rPr>
          <w:rFonts w:ascii="Courier New" w:hAnsi="Courier New"/>
          <w:sz w:val="17"/>
        </w:rPr>
        <w:t xml:space="preserve">Bodentypen, inklusive Subtypen, Varietäten und Subvarietäten, und Legendeneinheiten nach aktueller deutscher Bodensystematik und daran angelehnten Kartenwerken    Bodentypen der Abteilung Moore</w:t>
      </w:r>
    </w:p>
    <w:p>
      <w:r>
        <w:rPr>
          <w:rFonts w:ascii="Courier New" w:hAnsi="Courier New"/>
          <w:sz w:val="17"/>
        </w:rPr>
        <w:t xml:space="preserve">Moor- und Anmoorgleye</w:t>
      </w:r>
    </w:p>
    <w:p>
      <w:r>
        <w:rPr>
          <w:rFonts w:ascii="Courier New" w:hAnsi="Courier New"/>
          <w:sz w:val="17"/>
        </w:rPr>
        <w:t xml:space="preserve">Hochmoor-, Niedermoor- und Anmoorstagnogleye, Anmoorpseudogleye</w:t>
      </w:r>
    </w:p>
    <w:p>
      <w:r>
        <w:rPr>
          <w:rFonts w:ascii="Courier New" w:hAnsi="Courier New"/>
          <w:sz w:val="17"/>
        </w:rPr>
        <w:t xml:space="preserve">Überdeckte organische Böden, Sanddeckkulturen</w:t>
      </w:r>
    </w:p>
    <w:p>
      <w:r>
        <w:rPr>
          <w:rFonts w:ascii="Courier New" w:hAnsi="Courier New"/>
          <w:sz w:val="17"/>
        </w:rPr>
        <w:t xml:space="preserve">Treposole aus organischen Böden, Sandmischkulturen, Tiefpflugsanddeckkulturen, Baggerkuhlungen</w:t>
      </w:r>
    </w:p>
    <w:p>
      <w:r>
        <w:rPr>
          <w:rFonts w:ascii="Courier New" w:hAnsi="Courier New"/>
          <w:sz w:val="17"/>
        </w:rPr>
        <w:t xml:space="preserve">Bodentypen der Klasse Subhydrische Böden</w:t>
      </w:r>
    </w:p>
    <w:p>
      <w:r>
        <w:rPr>
          <w:color w:val="555555"/>
          <w:sz w:val="17"/>
        </w:rPr>
        <w:t xml:space="preserve">Zitiervorschlag: Anlage 2 GAPKondV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https://recht.nulegal.eu/gesetze/GAPKondV/anlage-2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