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GAPKondV — Anzeige der Umwandlung von Dauergrünland nach § 6 des GAP-Konditionalitäten-Gesetzes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14.12.2022 (konsolidierte Textfassung, kein amtliches Inkrafttretensdatum)</w:t>
      </w:r>
    </w:p>
    <w:p>
      <w:r>
        <w:t xml:space="preserve">Die Umwandlung von Dauergrünland nach § 6 des GAP-Konditionalitäten-Gesetzes ist der zuständigen Behörde im nächsten Sammelantrag nach § 5 des GAP-Integriertes Verwaltungs- und Kontrollsystem-Gesetzes anzuzeigen.</w:t>
      </w:r>
    </w:p>
    <w:p>
      <w:r>
        <w:rPr>
          <w:color w:val="555555"/>
          <w:sz w:val="17"/>
        </w:rPr>
        <w:t xml:space="preserve">Zitiervorschlag: § 9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