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GAPKondV — Nichtanwendbarkeit von § 6 des GAP- Konditionalitäten-Gesetzes in bestimmten Fällen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07.05.2025 (konsolidierte Textfassung, kein amtliches Inkrafttretensdatum)</w:t>
      </w:r>
    </w:p>
    <w:p>
      <w:r>
        <w:t xml:space="preserve">§ 6 des GAP-Konditionalitäten-Gesetzes ist nicht für Dauergrünland anzuwenden, das</w:t>
      </w:r>
    </w:p>
    <w:p>
      <w:pPr>
        <w:ind w:left="420"/>
      </w:pPr>
      <w:r>
        <w:t xml:space="preserve">1. nach § 5 Absatz 1 Satz 2 Nummer 3 des GAP-Konditionalitäten-Gesetzes als Ersatzfläche angelegt wurde,</w:t>
      </w:r>
    </w:p>
    <w:p>
      <w:pPr>
        <w:ind w:left="420"/>
      </w:pPr>
      <w:r>
        <w:t xml:space="preserve">2. nach § 7 rückumgewandelt wurde,</w:t>
      </w:r>
    </w:p>
    <w:p>
      <w:pPr>
        <w:ind w:left="420"/>
      </w:pPr>
      <w:r>
        <w:t xml:space="preserve">3. auf Grund der Vorschriften über die Erhaltung des Dauergrünlands bei der Zahlung für dem Klima- und Umweltschutz förderliche Landbewirtschaftungsmethoden zur Durchführung von Titel III Kapitel 3 der Verordnung (EU) Nr. 1307/2013 in der Fassung vom 31. Dezember 2022 als Dauergrünland angelegt oder in Dauergrünland rückumgewandelt wurde und nach diesen Vorschriften als Dauergrünland gilt oder</w:t>
      </w:r>
    </w:p>
    <w:p>
      <w:pPr>
        <w:ind w:left="420"/>
      </w:pPr>
      <w:r>
        <w:t xml:space="preserve">4. auf Grund einer Förderung gemäß § 1 Absatz 1 Satz 1 Nummer 3 des GAP-Konditionalitäten-Gesetzes aus Ackerland zu Dauergrünland umgewandelt wurde.</w:t>
      </w:r>
    </w:p>
    <w:p>
      <w:r>
        <w:rPr>
          <w:color w:val="555555"/>
          <w:sz w:val="17"/>
        </w:rPr>
        <w:t xml:space="preserve">Zitiervorschlag: § 8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