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GAPKondV — Frist für die Anlage von Ersatzflächen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14.12.2022 (konsolidierte Textfassung, kein amtliches Inkrafttretensdatum)</w:t>
      </w:r>
    </w:p>
    <w:p>
      <w:r>
        <w:t xml:space="preserve">Die Ersatzfläche ist bis zu dem auf die Genehmigung folgenden Schlusstermin für den Sammelantrag nach § 6 des GAP-Integriertes Verwaltungs- und Kontrollsystem-Gesetzes anzulegen.</w:t>
      </w:r>
    </w:p>
    <w:p>
      <w:r>
        <w:rPr>
          <w:color w:val="555555"/>
          <w:sz w:val="17"/>
        </w:rPr>
        <w:t xml:space="preserve">Zitiervorschlag: § 5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