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GAPKondV — Anlage von Ersatzflächen bei genehmigter Umwandlung</w:t>
      </w:r>
    </w:p>
    <w:p>
      <w:r>
        <w:rPr>
          <w:color w:val="555555"/>
          <w:sz w:val="18"/>
        </w:rPr>
        <w:t xml:space="preserve">GAP-Konditionalitäten-Verordnung</w:t>
      </w:r>
    </w:p>
    <w:p>
      <w:r>
        <w:rPr>
          <w:color w:val="555555"/>
          <w:sz w:val="18"/>
        </w:rPr>
        <w:t xml:space="preserve">Stand: 19.08.2026 (konsolidierte Textfassung, kein amtliches Inkrafttretensdatum)</w:t>
      </w:r>
    </w:p>
    <w:p>
      <w:r>
        <w:t xml:space="preserve">(1) Eine Ersatzfläche ist mindestens fünf aufeinanderfolgende Jahre für den Anbau von Gras oder anderen Grünfutterpflanzen zu nutzen, ohne Bestandteil der Fruchtfolge zu sein und ohne gepflügt zu werden. Sofern eine Fläche bereits in der in Satz 1 beschriebenen Weise genutzt wird, ist sie während der verbleibenden Anzahl von Jahren, um fünf aufeinanderfolgende Jahre zu erreichen, in derselben Weise zu nutzen. Satz 1 gilt auch für Flächen, die vor dem 1. Januar 2023 aufgrund von Vorschriften über die Erhaltung des Dauergrünlands bei der Zahlung für dem Klima- und Umweltschutz förderliche Landbewirtschaftungsmethoden zur Durchführung von Titel III Kapitel 3 der Verordnung (EU) Nr. 1307/2013 in der Fassung vom 31. Dezember 2022</w:t>
      </w:r>
    </w:p>
    <w:p>
      <w:pPr>
        <w:ind w:left="420"/>
      </w:pPr>
      <w:r>
        <w:t xml:space="preserve">1. als Dauergrünland angelegt oder rückumgewandelt wurden und</w:t>
      </w:r>
    </w:p>
    <w:p>
      <w:pPr>
        <w:ind w:left="420"/>
      </w:pPr>
      <w:r>
        <w:t xml:space="preserve">2. nach diesen Vorschriften als Dauergrünland gelten.</w:t>
      </w:r>
    </w:p>
    <w:p>
      <w:r>
        <w:t xml:space="preserve">Eine Ersatzfläche gilt als zu dem Zeitpunkt entstanden, zu dem die Dauergrünlandfläche entstanden ist, für die sie als Ersatz angelegt wird.</w:t>
      </w:r>
    </w:p>
    <w:p>
      <w:r>
        <w:t xml:space="preserve">(2) Für die Umwandlung einer Ersatzfläche gilt § 5 Absatz 1 Satz 2 Nummer 3 des GAP-Konditionalitäten-Gesetzes entsprechend.</w:t>
      </w:r>
    </w:p>
    <w:p>
      <w:r>
        <w:t xml:space="preserve">(3) Soweit die Ersatzfläche nicht im Eigentum der antragstellenden Person steht und die umzuwandelnde Fläche und die Ersatzfläche nicht identisch sind, ist die schriftliche oder elektronische Zustimmung des Eigentümers der Fläche zur Umwandlung dieser Fläche in Dauergrünland erforderlich.</w:t>
      </w:r>
    </w:p>
    <w:p>
      <w:r>
        <w:t xml:space="preserve">(4) Soweit die Ersatzfläche nicht zu dem Betrieb der antragstellenden Person gehört, ist die schriftliche oder elektronische Bereitschaftserklärung des Begünstigten, zu dessen Betrieb die Fläche gehört, zur Umwandlung dieser Fläche in Dauergrünland erforderlich.</w:t>
      </w:r>
    </w:p>
    <w:p>
      <w:r>
        <w:t xml:space="preserve">(5) Soweit die Ersatzfläche nicht zu dem Betrieb der antragstellenden Person gehört, muss sie zu dem Betrieb eines Begünstigten gehören, der in Bezug auf diese Fläche an dem auf die Genehmigung folgenden Schlusstermin für die Einreichung des Sammelantrages nach § 6 des GAP-Integriertes Verwaltungs- und Kontrollsystem-Gesetzes den Anforderungen des § 3 Absatz 1 des GAP-Konditionalitäten-Gesetzes unterliegt. Die Ersatzfläche darf zu dem auf die Erteilung der Genehmigung folgenden Schlusstermin für die Einreichung des Sammelantrages nach § 6 des GAP-Integriertes Verwaltungs- und Kontrollsystem-Gesetzes nicht zu dem Betrieb eines begünstigten Dritten gehören, dessen Betrieb</w:t>
      </w:r>
    </w:p>
    <w:p>
      <w:pPr>
        <w:ind w:left="420"/>
      </w:pPr>
      <w:r>
        <w:t xml:space="preserve">1. bis zu 10 Hektar landwirtschaftlicher Fläche bewirtschaftet,</w:t>
      </w:r>
    </w:p>
    <w:p>
      <w:pPr>
        <w:ind w:left="420"/>
      </w:pPr>
      <w:r>
        <w:t xml:space="preserve">2. insgesamt gemäß der Verordnung (EU) 2018/848 zertifiziert ist oder</w:t>
      </w:r>
    </w:p>
    <w:p>
      <w:pPr>
        <w:ind w:left="420"/>
      </w:pPr>
      <w:r>
        <w:t xml:space="preserve">3. sich nach der Verordnung (EU) 2018/848 insgesamt in der Umstellung auf die ökologische/biologische Produktionsweise befindet.</w:t>
      </w:r>
    </w:p>
    <w:p>
      <w:r>
        <w:t xml:space="preserve">(6) Die antragstellende Person hat sich gegenüber der zuständigen Behörde schriftlich oder elektronisch zu verpflichten, im Falle eines Wechsels des Eigentums oder des Besitzes an einer Ersatzfläche während der Laufzeit der Verpflichtung nach Absatz 1 jeden nachfolgenden Eigentümer und den nachfolgenden Besitzer darüber zu unterrichten, dass und seit wann die Ersatzfläche der Verpflichtung nach Absatz 1 unterliegt. Soweit die Ersatzfläche nicht im Eigentum der antragstellenden Person steht, hat die antragstellende Person der zuständigen Behörde eine schriftliche oder elektronische Verpflichtung des Eigentümers des Ersatzgrundstücks zur Unterrichtung jedes nachfolgenden Eigentümers nach Satz 1 vorzulegen.</w:t>
      </w:r>
    </w:p>
    <w:p>
      <w:r>
        <w:t xml:space="preserve">(7) Soweit die zuständige Behörde für die Zustimmung und Erklärungen nach den Absätzen 3, 4 und 6 Muster bekannt gibt oder Vordrucke oder Formulare bereithält, sind diese zu verwenden.</w:t>
      </w:r>
    </w:p>
    <w:p>
      <w:r>
        <w:rPr>
          <w:color w:val="555555"/>
          <w:sz w:val="17"/>
        </w:rPr>
        <w:t xml:space="preserve">Zitiervorschlag: § 4 GAPKondV</w:t>
      </w:r>
    </w:p>
    <w:p>
      <w:r>
        <w:rPr>
          <w:color w:val="555555"/>
          <w:sz w:val="17"/>
        </w:rPr>
        <w:t xml:space="preserve">Quelle: Bundesamt für Justiz, abgerufen 19.08.2026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https://recht.nulegal.eu/gesetze/GAPKondV/4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