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GAPKondV — Abweichungen vom Regelsatz für Verwaltungssanktionen</w:t>
      </w:r>
    </w:p>
    <w:p>
      <w:r>
        <w:rPr>
          <w:color w:val="555555"/>
          <w:sz w:val="18"/>
        </w:rPr>
        <w:t xml:space="preserve">GAP-Konditionalitäten-Verordnung</w:t>
      </w:r>
    </w:p>
    <w:p>
      <w:r>
        <w:rPr>
          <w:color w:val="555555"/>
          <w:sz w:val="18"/>
        </w:rPr>
        <w:t xml:space="preserve">Außer Kraft: § 39 ist seit 01.01.2025 nicht mehr im GAPKondV enthalten. Angezeigt wird die letzte bekannte Fassung, Stand 14.12.2022.</w:t>
      </w:r>
    </w:p>
    <w:p>
      <w:r>
        <w:t xml:space="preserve">(1) Soweit das Flächenmonitoringsystem zur Feststellung von Verstößen gegen bestimmte GAB oder GLÖZ-Standards eingesetzt wird, kann die Zahlstelle im Fall einer Verwaltungssanktion einen niedrigeren Kürzungssatz als den in der Unionsregelung festgelegten Regelsatz von 3 Prozent anwenden.</w:t>
      </w:r>
    </w:p>
    <w:p>
      <w:r>
        <w:t xml:space="preserve">(2) Hat ein Verstoß gegen die GAB oder GLÖZ-Standards schwerwiegende Folgen für die Erreichung der Ziele der GAB oder GLÖZ-Standards oder stellt er eine unmittelbare Gefahr für die Gesundheit von Mensch oder Tier dar, hat die Zahlstelle im Fall einer Verwaltungssanktion einen höheren Kürzungssatz als den in der Unionsregelung festgelegten Regelsatz von 3 Prozent anzuwenden. Der Kürzungssatz darf 10 Prozent nicht überschreiten.</w:t>
      </w:r>
    </w:p>
    <w:p>
      <w:r>
        <w:t xml:space="preserve">(3) Bei vorsätzlichen Verstößen beträgt der Kürzungssatz mindestens 15 Prozent.</w:t>
      </w:r>
    </w:p>
    <w:p>
      <w:r>
        <w:rPr>
          <w:color w:val="555555"/>
          <w:sz w:val="17"/>
        </w:rPr>
        <w:t xml:space="preserve">Zitiervorschlag: § 39 GAPKondV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