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GAPKondV — Sanktionierung bei Übertragung</w:t>
      </w:r>
    </w:p>
    <w:p>
      <w:r>
        <w:rPr>
          <w:color w:val="555555"/>
          <w:sz w:val="18"/>
        </w:rPr>
        <w:t xml:space="preserve">GAP-Konditionalitäten-Verordnung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§ 22 des GAP-Konditionalitäten-Gesetzes gilt entsprechend, wenn</w:t>
      </w:r>
    </w:p>
    <w:p>
      <w:pPr>
        <w:ind w:left="420"/>
      </w:pPr>
      <w:r>
        <w:t xml:space="preserve">1. aufgrund eines besonders schweren Verstoßes eine mindestens zwei Jahre betreffende Verwaltungssanktion verhängt wird und</w:t>
      </w:r>
    </w:p>
    <w:p>
      <w:pPr>
        <w:ind w:left="420"/>
      </w:pPr>
      <w:r>
        <w:t xml:space="preserve">2. der Begünstigte innerhalb dieses Zeitraums eine landwirtschaftliche Fläche oder einen Betriebsteil überträgt.</w:t>
      </w:r>
    </w:p>
    <w:p>
      <w:r>
        <w:rPr>
          <w:color w:val="555555"/>
          <w:sz w:val="17"/>
        </w:rPr>
        <w:t xml:space="preserve">Zitiervorschlag: § 31 GAPKondV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https://recht.nulegal.eu/gesetze/GAPKondV/31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