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GAPKondV — Antrag auf Genehmigung der Umwandlung von Dauergrünland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Genehmigung für die Umwandlung von Dauergrünland nach § 5 des GAP-Konditionalitäten-Gesetzes ist schriftlich oder elektronisch bei der zuständigen Behörde zu beantragen.</w:t>
      </w:r>
    </w:p>
    <w:p>
      <w:r>
        <w:t xml:space="preserve">(2) In dem Antrag sind anzugeben:</w:t>
      </w:r>
    </w:p>
    <w:p>
      <w:pPr>
        <w:ind w:left="420"/>
      </w:pPr>
      <w:r>
        <w:t xml:space="preserve">1. die Lage und die Größe der Fläche, für die die Genehmigung zur Umwandlung beantragt wird,</w:t>
      </w:r>
    </w:p>
    <w:p>
      <w:pPr>
        <w:ind w:left="420"/>
      </w:pPr>
      <w:r>
        <w:t xml:space="preserve">2. die beabsichtigte Nutzung der Fläche nach Nummer 1,</w:t>
      </w:r>
    </w:p>
    <w:p>
      <w:pPr>
        <w:ind w:left="420"/>
      </w:pPr>
      <w:r>
        <w:t xml:space="preserve">3. die Lage und die Größe der Fläche, die nach § 5 Absatz 1 Satz 2 Nummer 3 des GAP-Konditionalitäten-Gesetzes neu als Dauergrünland anzulegen ist (Ersatzfläche), soweit diese Voraussetzung für die Genehmigung ist,</w:t>
      </w:r>
    </w:p>
    <w:p>
      <w:pPr>
        <w:ind w:left="420"/>
      </w:pPr>
      <w:r>
        <w:t xml:space="preserve">4. soweit die antragstellende Person nicht Eigentümerin der Fläche nach Nummer 1 ist, der Eigentümer dieser Fläche,</w:t>
      </w:r>
    </w:p>
    <w:p>
      <w:pPr>
        <w:ind w:left="420"/>
      </w:pPr>
      <w:r>
        <w:t xml:space="preserve">5. soweit die Fläche nach Nummer 3 nicht zum Betrieb der antragstellenden Person gehört, der Begünstigte, zu dessen Betrieb die Fläche gehört, und die für die Feststellung nach § 4 Absatz 4 erforderlichen Angaben,</w:t>
      </w:r>
    </w:p>
    <w:p>
      <w:pPr>
        <w:ind w:left="420"/>
      </w:pPr>
      <w:r>
        <w:t xml:space="preserve">6. soweit keine Ersatzfläche angelegt werden soll, die Gründe hierfür, sowie</w:t>
      </w:r>
    </w:p>
    <w:p>
      <w:pPr>
        <w:ind w:left="420"/>
      </w:pPr>
      <w:r>
        <w:t xml:space="preserve">7. die Erklärung, dass die antragstellende Person keiner Verpflichtung gegenüber einer öffentlichen Stelle unterliegt, die einer Umwandlung entgegenstehen.</w:t>
      </w:r>
    </w:p>
    <w:p>
      <w:r>
        <w:t xml:space="preserve">(3) Dem Antrag sind, soweit erforderlich, beizufügen:</w:t>
      </w:r>
    </w:p>
    <w:p>
      <w:pPr>
        <w:ind w:left="420"/>
      </w:pPr>
      <w:r>
        <w:t xml:space="preserve">1. in den Fällen des Absatzes 2 Nummer 4, sofern die umzuwandelnde Fläche und die Ersatzfläche nicht identisch sind, die schriftliche oder elektronische Zustimmungserklärung des Eigentümers,</w:t>
      </w:r>
    </w:p>
    <w:p>
      <w:pPr>
        <w:ind w:left="420"/>
      </w:pPr>
      <w:r>
        <w:t xml:space="preserve">2. in den Fällen des Absatzes 2 Nummer 5 die schriftliche oder elektronische Bereitschaftserklärung des Begünstigten,</w:t>
      </w:r>
    </w:p>
    <w:p>
      <w:pPr>
        <w:ind w:left="420"/>
      </w:pPr>
      <w:r>
        <w:t xml:space="preserve">3. die schriftliche Verpflichtung des Eigentümers nach § 4 Absatz 6 Satz 2 oder</w:t>
      </w:r>
    </w:p>
    <w:p>
      <w:pPr>
        <w:ind w:left="420"/>
      </w:pPr>
      <w:r>
        <w:t xml:space="preserve">4. die Kopie der Genehmigung, wenn die Fläche für die Durchführung eines nach anderen Rechtsvorschriften genehmigungspflichtigen Vorhabens genutzt wird.</w:t>
      </w:r>
    </w:p>
    <w:p>
      <w:r>
        <w:rPr>
          <w:color w:val="555555"/>
          <w:sz w:val="17"/>
        </w:rPr>
        <w:t xml:space="preserve">Zitiervorschlag: § 3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https://recht.nulegal.eu/gesetze/GAPKondV/3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