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GAPKondV — Kontrollbericht</w:t>
      </w:r>
    </w:p>
    <w:p>
      <w:r>
        <w:rPr>
          <w:color w:val="555555"/>
          <w:sz w:val="18"/>
        </w:rPr>
        <w:t xml:space="preserve">GAP-Konditionalitäten-Verordnung</w:t>
      </w:r>
    </w:p>
    <w:p>
      <w:r>
        <w:rPr>
          <w:color w:val="555555"/>
          <w:sz w:val="18"/>
        </w:rPr>
        <w:t xml:space="preserve">Stand: 01.01.2025 (konsolidierte Textfassung, kein amtliches Inkrafttretensdatum)</w:t>
      </w:r>
    </w:p>
    <w:p>
      <w:r>
        <w:t xml:space="preserve">(1) Unbeschadet besonderer Regelungen in den für die GAB und GLÖZ-Standards geltenden Rechtsvorschriften muss der Kontrollbericht nach § 20 Absatz 1 des GAP-Konditionalitäten-Gesetzes innerhalb eines Monats nach der systematischen Vor-Ort-Kontrolle fertiggestellt sein. Die Frist nach Satz 1 kann in begründeten Fällen, insbesondere, wenn dies aufgrund von chemischen oder physikalischen Analysen erforderlich ist, drei Monate betragen.</w:t>
      </w:r>
    </w:p>
    <w:p>
      <w:r>
        <w:t xml:space="preserve">(2) Bei anlassbezogenen Vor-Ort-Kontrollen und Verwaltungskontrollen wird ein Kontrollbericht innerhalb eines Monats nach der Kontrolle zumindest dann erstellt, wenn Verstöße gegen die GAB oder GLÖZ-Standards festgestellt wurden. Absatz 1 Satz 2 gilt entsprechend.</w:t>
      </w:r>
    </w:p>
    <w:p>
      <w:r>
        <w:t xml:space="preserve">(3) Ist die Kontrollbehörde nicht die Zahlstelle, wird der Kontrollbericht innerhalb eines Monats nach seiner Fertigstellung an die Zahlstelle oder an die koordinierende Behörde der betroffenen Länder übermittelt oder diesen zugänglich gemacht. Sofern erforderlich, sind entsprechende Belege zu übermitteln oder zugänglich zu machen.</w:t>
      </w:r>
    </w:p>
    <w:p>
      <w:r>
        <w:rPr>
          <w:color w:val="555555"/>
          <w:sz w:val="17"/>
        </w:rPr>
        <w:t xml:space="preserve">Zitiervorschlag: § 29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