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GAPKondV — Verwaltungskontrollen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Neben den systematischen Vor-Ort-Kontrollen führen die Kontrollbehörden bei allen Begünstigten Verwaltungskontrollen hinsichtlich der in Absatz 2 genannten Verpflichtungen durch.</w:t>
      </w:r>
    </w:p>
    <w:p>
      <w:r>
        <w:t xml:space="preserve">(2) Im Rahmen von Verwaltungskontrollen überprüfen die Kontrollbehörden insbesondere, ob</w:t>
      </w:r>
    </w:p>
    <w:p>
      <w:pPr>
        <w:ind w:left="420"/>
      </w:pPr>
      <w:r>
        <w:t xml:space="preserve">1. im Fall einer Umwandlung von Dauergrünland</w:t>
      </w:r>
    </w:p>
    <w:p>
      <w:pPr>
        <w:ind w:left="780"/>
      </w:pPr>
      <w:r>
        <w:t xml:space="preserve">a) die Genehmigung nach § 5 des GAP-Konditionalitäten-Gesetzes vorliegt oder</w:t>
      </w:r>
    </w:p>
    <w:p>
      <w:pPr>
        <w:ind w:left="780"/>
      </w:pPr>
      <w:r>
        <w:t xml:space="preserve">b) ein Fall von § 6 oder § 7 des GAP-Konditionalitäten-Gesetzes gegeben ist,</w:t>
      </w:r>
    </w:p>
    <w:p>
      <w:pPr>
        <w:ind w:left="420"/>
      </w:pPr>
      <w:r>
        <w:t xml:space="preserve">2. der Begünstigte die Vorgaben zum Fruchtwechsel nach § 18 erfüllt.</w:t>
      </w:r>
    </w:p>
    <w:p>
      <w:r>
        <w:rPr>
          <w:color w:val="555555"/>
          <w:sz w:val="17"/>
        </w:rPr>
        <w:t xml:space="preserve">Zitiervorschlag: § 27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