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GAPKondV — Auswahl der Kontrollstichprobe</w:t>
      </w:r>
    </w:p>
    <w:p>
      <w:r>
        <w:rPr>
          <w:color w:val="555555"/>
          <w:sz w:val="18"/>
        </w:rPr>
        <w:t xml:space="preserve">GAP-Konditionalitäten-Verordnung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Die Kontrollstichprobe nach § 16 Absatz 1 des GAP-Konditionalitäten-Gesetzes wird zu einem Anteil von höchstens 50 Prozent zufallsbasiert ausgewählt. Der verbleibende Teil der Kontrollstichprobe wird nach Maßgabe von Absatz 3 risikobasiert ausgewählt.</w:t>
      </w:r>
    </w:p>
    <w:p>
      <w:r>
        <w:t xml:space="preserve">(2) In Fällen des § 25 Absatz 2 kann von dem in Absatz 1 festgelegten zufallsbasierten Anteil an der Kontrollstichprobe abgewichen werden.</w:t>
      </w:r>
    </w:p>
    <w:p>
      <w:r>
        <w:t xml:space="preserve">(3) Zur Auswahl des risikobasierten Anteils der Stichprobe ist eine Risikoanalyse durchzuführen. In der Risikoanalyse sind zumindest folgende Kriterien zu berücksichtigen:</w:t>
      </w:r>
    </w:p>
    <w:p>
      <w:pPr>
        <w:ind w:left="420"/>
      </w:pPr>
      <w:r>
        <w:t xml:space="preserve">1. die Betriebsstruktur und</w:t>
      </w:r>
    </w:p>
    <w:p>
      <w:pPr>
        <w:ind w:left="420"/>
      </w:pPr>
      <w:r>
        <w:t xml:space="preserve">2. das Risiko, das einem Verstoß gegen die GAB oder GLÖZ-Standards innewohnt.</w:t>
      </w:r>
    </w:p>
    <w:p>
      <w:r>
        <w:t xml:space="preserve">Im Rahmen der Risikoanalyse kann neben weiteren Kriterien insbesondere auch die Teilnahme an dem betrieblichen Beratungssystem berücksichtigt werden. Die Länder legen Gewichtungsfaktoren für die zu berücksichtigenden Kriterien fest.</w:t>
      </w:r>
    </w:p>
    <w:p>
      <w:r>
        <w:rPr>
          <w:color w:val="555555"/>
          <w:sz w:val="17"/>
        </w:rPr>
        <w:t xml:space="preserve">Zitiervorschlag: § 26 GAPKondV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https://recht.nulegal.eu/gesetze/GAPKondV/26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