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GAPKondV — Mindestkontrollsatz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Mindestkontrollsatz für systematische Vor-Ort-Kontrollen kann auf der Ebene jeder Kontrollbehörde oder auf der Ebene der einzelnen GAB und GLÖZ-Standards oder jeder Gruppe von GAB und GLÖZ-Standards erreicht werden. Werden die Kontrollen nicht von der Zahlstelle durchgeführt, kann der Mindestkontrollsatz dennoch auf der Ebene der Zahlstelle erreicht werden.</w:t>
      </w:r>
    </w:p>
    <w:p>
      <w:r>
        <w:t xml:space="preserve">(2) Wird in einem Jahr bei den systematischen Vor-Ort-Kontrollen in Bezug auf bestimmte GAB oder GLÖZ-Standards in einem Jahr ein erheblicher Grad an Verstößen festgestellt, kann die Kontrollbehörde den Risikoanteil an der Mindestkontrollquote im Folgejahr erhöhen.</w:t>
      </w:r>
    </w:p>
    <w:p>
      <w:r>
        <w:rPr>
          <w:color w:val="555555"/>
          <w:sz w:val="17"/>
        </w:rPr>
        <w:t xml:space="preserve">Zitiervorschlag: § 25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