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GAPKondV — Systematische Vor-Ort-Kontrollen</w:t>
      </w:r>
    </w:p>
    <w:p>
      <w:r>
        <w:rPr>
          <w:color w:val="555555"/>
          <w:sz w:val="18"/>
        </w:rPr>
        <w:t xml:space="preserve">GAP-Konditionalitäten-Verordnung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Der Zeitpunkt der Vor-Ort-Kontrolle nach § 16 Absatz 1 des GAP-Konditionalitäten-Gesetzes (systematische Vor-Ort-Kontrolle) ist so auszuwählen, dass die meisten GAB und GLÖZ-Standards, die der Begünstigte einzuhalten hat, überprüft werden können. Die Kontrollbehörden stellen sicher, dass im Jahresverlauf für sämtliche GAB und GLÖZ-Standards ein angemessenes Kontrollniveau erreicht wird.</w:t>
      </w:r>
    </w:p>
    <w:p>
      <w:r>
        <w:t xml:space="preserve">(2) Systematische Vor-Ort-Kontrollen umfassen jeweils den gesamten Betrieb.</w:t>
      </w:r>
    </w:p>
    <w:p>
      <w:r>
        <w:t xml:space="preserve">(3) Findet im Rahmen einer systematischen Vor-Ort-Kontrolle eine Feldbesichtigung statt, kann sich diese auf eine Stichprobe der von den GAB oder GLÖZ-Standards betroffenen landwirtschaftlichen Parzellen oder Betriebseinheiten beschränken. Diese Beschränkung darf nur erfolgen, wenn die Stichprobe</w:t>
      </w:r>
    </w:p>
    <w:p>
      <w:pPr>
        <w:ind w:left="420"/>
      </w:pPr>
      <w:r>
        <w:t xml:space="preserve">1. ein verlässliches und repräsentatives Kontrollniveau in Bezug auf die GAB und GLÖZ-Standards gewährleistet sowie</w:t>
      </w:r>
    </w:p>
    <w:p>
      <w:pPr>
        <w:ind w:left="420"/>
      </w:pPr>
      <w:r>
        <w:t xml:space="preserve">2. im Fall von Flächen mindestens die Hälfte der betroffenen landwirtschaftlichen Parzellen umfasst; sofern die betroffenen Parzellen risikoorientiert ausgewählt werden, können weniger als die Hälfte der Parzellen kontrolliert werden.</w:t>
      </w:r>
    </w:p>
    <w:p>
      <w:r>
        <w:t xml:space="preserve">Wird bei der Kontrolle der Stichprobe nach Satz 1 und 2 ein Verstoß festgestellt, wird die Kontrolle über die tatsächlich besichtigten landwirtschaftlichen Parzellen oder Betriebseinheiten hinaus ausgeweitet.</w:t>
      </w:r>
    </w:p>
    <w:p>
      <w:r>
        <w:rPr>
          <w:color w:val="555555"/>
          <w:sz w:val="17"/>
        </w:rPr>
        <w:t xml:space="preserve">Zitiervorschlag: § 24 GAPKondV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https://recht.nulegal.eu/gesetze/GAPKondV/24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