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GAPKondV — Anzuwendende Vorschriften und Zuständigkeiten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zuständigen Behörden führen die Kontrollen und die Verwaltungssanktionen bezüglich der GAB und GLÖZ-Standards nach Maßgabe der Unionsregelung, des Kapitels 3 des GAP-Konditionalitäten-Gesetzes sowie dieses Kapitels durch.</w:t>
      </w:r>
    </w:p>
    <w:p>
      <w:r>
        <w:t xml:space="preserve">(2) Die Länder bestimmen für jede GAB und jeden GLÖZ-Standard die jeweils zuständige Kontrollbehörde. Als Kontrollbehörden können bestimmt werden:</w:t>
      </w:r>
    </w:p>
    <w:p>
      <w:pPr>
        <w:ind w:left="420"/>
      </w:pPr>
      <w:r>
        <w:t xml:space="preserve">1. spezialisierte Kontrolleinrichtungen, die für die Überwachung der in den GAB benannten Rechtsvorschriften der Europäischen Union zuständig sind,</w:t>
      </w:r>
    </w:p>
    <w:p>
      <w:pPr>
        <w:ind w:left="420"/>
      </w:pPr>
      <w:r>
        <w:t xml:space="preserve">2. die Zahlstellen oder</w:t>
      </w:r>
    </w:p>
    <w:p>
      <w:pPr>
        <w:ind w:left="420"/>
      </w:pPr>
      <w:r>
        <w:t xml:space="preserve">3. sonstige Behörden.</w:t>
      </w:r>
    </w:p>
    <w:p>
      <w:r>
        <w:t xml:space="preserve">Bei Kontrollen durch Zahlstellen oder sonstige Behörden ist zu gewährleisten, dass die durchgeführten Kontrollen ebenso wirksam sind wie Kontrollen durch spezialisierte Kontrolleinrichtungen.</w:t>
      </w:r>
    </w:p>
    <w:p>
      <w:r>
        <w:t xml:space="preserve">(3) Die Kontrollbehörden sind für die Durchführung der Kontrollen zuständig.</w:t>
      </w:r>
    </w:p>
    <w:p>
      <w:r>
        <w:t xml:space="preserve">(4) Die Zahlstellen sind für die Anwendung der Verwaltungssanktionen zuständig.</w:t>
      </w:r>
    </w:p>
    <w:p>
      <w:r>
        <w:rPr>
          <w:color w:val="555555"/>
          <w:sz w:val="17"/>
        </w:rPr>
        <w:t xml:space="preserve">Zitiervorschlag: § 23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