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 GAPKondV — Vorschriften der sozialen Konditionalität</w:t>
      </w:r>
    </w:p>
    <w:p>
      <w:r>
        <w:rPr>
          <w:color w:val="555555"/>
          <w:sz w:val="18"/>
        </w:rPr>
        <w:t xml:space="preserve">GAP-Konditionalitäten-Verordnung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Vorschriften der sozialen Konditionalität im Sinne von § 3 Absatz 1 Nummer 3 GAP-Konditionalitäten-Gesetz sind die in Anlage 7 genannten Regelungen.</w:t>
      </w:r>
    </w:p>
    <w:p>
      <w:r>
        <w:rPr>
          <w:color w:val="555555"/>
          <w:sz w:val="17"/>
        </w:rPr>
        <w:t xml:space="preserve">Zitiervorschlag: § 22 GAPKondV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https://recht.nulegal.eu/gesetze/GAPKondV/22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