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GAPKondV — Anzeigepflicht für Maßnahmen zur Grasnarbenerneuerung bei umweltsensiblem Dauergrünland</w:t>
      </w:r>
    </w:p>
    <w:p>
      <w:r>
        <w:rPr>
          <w:color w:val="555555"/>
          <w:sz w:val="18"/>
        </w:rPr>
        <w:t xml:space="preserve">GAP-Konditionalitäten-Verordnung</w:t>
      </w:r>
    </w:p>
    <w:p>
      <w:r>
        <w:rPr>
          <w:color w:val="555555"/>
          <w:sz w:val="18"/>
        </w:rPr>
        <w:t xml:space="preserve">Stand: 01.01.2025 (konsolidierte Textfassung, kein amtliches Inkrafttretensdatum)</w:t>
      </w:r>
    </w:p>
    <w:p>
      <w:r>
        <w:t xml:space="preserve">(1) Der Begünstigte hat der zuständigen Behörde eine Maßnahme nach § 7 Absatz 5 Satz 2 der GAP-Direktzahlungen-Verordnung mindestens 15 Werktage vor ihrer geplanten Durchführung schriftlich oder elektronisch anzuzeigen, sofern umweltsensibles Dauergrünland betroffen ist. Die zuständige Behörde kann die geplante Maßnahme untersagen oder unter die Einhaltung bestimmter Maßgaben stellen, sofern Belange des Umwelt-, des Natur- oder des Klimaschutzes dieser Maßnahme entgegenstehen.</w:t>
      </w:r>
    </w:p>
    <w:p>
      <w:r>
        <w:t xml:space="preserve">(2) Absatz 1 gilt entsprechend für gesetzlich geschützte Biotope nach § 30 Absatz 2 des Bundesnaturschutzgesetzes oder geschützte Biotope nach weitergehenden landesrechtlichen Vorschriften.</w:t>
      </w:r>
    </w:p>
    <w:p>
      <w:r>
        <w:t xml:space="preserve">(3) Abweichend von Absatz 1 und 2 sind Maßnahmen nach § 7 Absatz 5 Satz 2 der GAP-Direktzahlungen-Verordnung auf umweltsensiblem Dauergrünland, in gesetzlich geschützten Biotopen nach § 30 Absatz 2 des Bundesnaturschutzgesetzes oder in geschützten Biotopen nach weitergehenden landesrechtlichen Vorschriften nicht anzeigepflichtig, wenn sie mit dem Ziel einer naturschutzfachlichen Aufwertung der Flächen mit Zustimmung der für Naturschutz zuständigen Behörden durchgeführt werden.</w:t>
      </w:r>
    </w:p>
    <w:p>
      <w:r>
        <w:rPr>
          <w:color w:val="555555"/>
          <w:sz w:val="17"/>
        </w:rPr>
        <w:t xml:space="preserve">Zitiervorschlag: § 20 GAPKondV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https://recht.nulegal.eu/gesetze/GAPKondV/20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