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GAPKondV — Keine Beseitigung von Landschaftselementen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Folgende Landschaftselemente dürfen nicht beseitigt werden:</w:t>
      </w:r>
    </w:p>
    <w:p>
      <w:pPr>
        <w:ind w:left="420"/>
      </w:pPr>
      <w:r>
        <w:t xml:space="preserve">1. Hecken oder Knicks: lineare Strukturelemente, die überwiegend mit Gehölzen bewachsen sind und eine Mindestlänge von 10 Metern sowie eine Durchschnittsbreite von bis zu 15 Metern aufweisen, wobei kleinere unbefestigte Unterbrechungen unschädlich sind,</w:t>
      </w:r>
    </w:p>
    <w:p>
      <w:pPr>
        <w:ind w:left="420"/>
      </w:pPr>
      <w:r>
        <w:t xml:space="preserve">2. Baumreihen: mindestens fünf linear angeordnete, nicht landwirtschaftlich genutzte Bäume entlang einer Strecke von mindestens 50 Metern Länge,</w:t>
      </w:r>
    </w:p>
    <w:p>
      <w:pPr>
        <w:ind w:left="420"/>
      </w:pPr>
      <w:r>
        <w:t xml:space="preserve">3. Feldgehölze: überwiegend mit Gehölzen bewachsene Flächen, die nicht der landwirtschaftlichen Erzeugung dienen, mit einer Größe von mindestens 50 Quadratmetern bis höchstens 2 000 Quadratmetern; Flächen, für die eine Beihilfe zur Aufforstung oder eine Aufforstungsprämie gewährt worden ist, gelten nicht als Feldgehölze,</w:t>
      </w:r>
    </w:p>
    <w:p>
      <w:pPr>
        <w:ind w:left="420"/>
      </w:pPr>
      <w:r>
        <w:t xml:space="preserve">4. Feuchtgebiete mit einer Größe von höchstens 2 000 Quadratmetern:</w:t>
      </w:r>
    </w:p>
    <w:p>
      <w:pPr>
        <w:ind w:left="780"/>
      </w:pPr>
      <w:r>
        <w:t xml:space="preserve">a) in Biotopen, die nach § 30 Absatz 2 Satz 1 Nummer 1 und 2 des Bundesnaturschutzgesetzes oder weitergehenden landesrechtlichen Vorschriften geschützt und über die Biotopkartierungen der Länder erfasst sind,</w:t>
      </w:r>
    </w:p>
    <w:p>
      <w:pPr>
        <w:ind w:left="780"/>
      </w:pPr>
      <w:r>
        <w:t xml:space="preserve">b) Tümpel, Sölle und Dolinen sowie</w:t>
      </w:r>
    </w:p>
    <w:p>
      <w:pPr>
        <w:ind w:left="780"/>
      </w:pPr>
      <w:r>
        <w:t xml:space="preserve">c) mit Buchstabe b vergleichbare Feuchtgebiete.</w:t>
      </w:r>
    </w:p>
    <w:p>
      <w:pPr>
        <w:ind w:left="420"/>
      </w:pPr>
      <w:r>
        <w:t xml:space="preserve">5. Einzelbäume: Bäume, die als Naturdenkmäler nach § 28 des Bundesnaturschutzgesetzes geschützt sind,</w:t>
      </w:r>
    </w:p>
    <w:p>
      <w:pPr>
        <w:ind w:left="420"/>
      </w:pPr>
      <w:r>
        <w:t xml:space="preserve">6. Feldraine: überwiegend mit gras- und krautartigen Pflanzen bewachsene, schmale, lang gestreckte Flächen mit einer Gesamtbreite von mehr als 2 Metern, die innerhalb von oder zwischen landwirtschaftlichen Nutzflächen liegen oder an diese angrenzen und auf denen keine landwirtschaftliche Erzeugung stattfindet,</w:t>
      </w:r>
    </w:p>
    <w:p>
      <w:pPr>
        <w:ind w:left="420"/>
      </w:pPr>
      <w:r>
        <w:t xml:space="preserve">7. Lesesteinwälle: Aufschüttungen von Lesesteinen von mehr als 5 Metern Länge,</w:t>
      </w:r>
    </w:p>
    <w:p>
      <w:pPr>
        <w:ind w:left="420"/>
      </w:pPr>
      <w:r>
        <w:t xml:space="preserve">8. Fels- und Steinriegel sowie naturversteinte Flächen mit einer Größe von höchstens 2 000 Quadratmetern,</w:t>
      </w:r>
    </w:p>
    <w:p>
      <w:pPr>
        <w:ind w:left="420"/>
      </w:pPr>
      <w:r>
        <w:t xml:space="preserve">9. Terrassen: unter Verwendung von Hilfsmaterialien angelegte, linear-vertikale Strukturen in der Agrarlandschaft, die dazu bestimmt sind, die Hangneigung von Nutzflächen zu verringern.</w:t>
      </w:r>
    </w:p>
    <w:p>
      <w:pPr>
        <w:ind w:left="420"/>
      </w:pPr>
      <w:r>
        <w:t xml:space="preserve">10. Trocken- und Natursteinmauern: Mauern aus mit Erde oder Lehm verfugten oder nicht verfugten Feld- oder Natursteinen, die</w:t>
      </w:r>
    </w:p>
    <w:p>
      <w:pPr>
        <w:ind w:left="780"/>
      </w:pPr>
      <w:r>
        <w:t xml:space="preserve">a) Bestandteile einer Terrasse nach Nummer 9 sind, oder</w:t>
      </w:r>
    </w:p>
    <w:p>
      <w:pPr>
        <w:ind w:left="780"/>
      </w:pPr>
      <w:r>
        <w:t xml:space="preserve">b) mehr als 5 Metern lang und kein Bestandteil einer Terrasse nach Nummer 9 sind.</w:t>
      </w:r>
    </w:p>
    <w:p>
      <w:r>
        <w:t xml:space="preserve">(2) Das Beseitigungsverbot nach Absatz 1 gilt nicht für Gehölze von Agroforstsystemen nach § 4 Absatz 2 der GAP-Direktzahlungen-Verordnung.</w:t>
      </w:r>
    </w:p>
    <w:p>
      <w:r>
        <w:t xml:space="preserve">(3) § 39 Absatz 5 Satz 1 Nummer 2 und Satz 2 bis 4 des Bundesnaturschutzgesetzes in Verbindung mit dem darauf gestützten Landesrecht gilt entsprechend für</w:t>
      </w:r>
    </w:p>
    <w:p>
      <w:pPr>
        <w:ind w:left="420"/>
      </w:pPr>
      <w:r>
        <w:t xml:space="preserve">1. Hecken und Knicks,</w:t>
      </w:r>
    </w:p>
    <w:p>
      <w:pPr>
        <w:ind w:left="420"/>
      </w:pPr>
      <w:r>
        <w:t xml:space="preserve">2. Bäume in Baumreihen,</w:t>
      </w:r>
    </w:p>
    <w:p>
      <w:pPr>
        <w:ind w:left="420"/>
      </w:pPr>
      <w:r>
        <w:t xml:space="preserve">3. Feldgehölze und</w:t>
      </w:r>
    </w:p>
    <w:p>
      <w:pPr>
        <w:ind w:left="420"/>
      </w:pPr>
      <w:r>
        <w:t xml:space="preserve">4. Einzelbäume.</w:t>
      </w:r>
    </w:p>
    <w:p>
      <w:r>
        <w:t xml:space="preserve">(4) Die Landesregierungen können ergänzend zu Absatz 1 durch Rechtsverordnung nach Maßgabe des § 26 Absatz 1 Nummer 2 in Verbindung mit Absatz 4 Satz 1 des GAP-Konditionalitäten-Gesetzes weitere Landschaftselemente festlegen, die nach Absatz 1 nicht beseitigt werden dürfen, soweit dies erforderlich ist, um besonderen regionalen Gegebenheiten Rechnung tragen zu können. Die Landesregierungen können durch Rechtsverordnung nach Satz 1 Ausnahmen vom Beseitigungsverbot des Absatzes 1 zulassen, soweit dies aus Gründen des Naturschutzes erforderlich ist.</w:t>
      </w:r>
    </w:p>
    <w:p>
      <w:r>
        <w:t xml:space="preserve">(5) Mit dem Beseitigungsverbot des Absatzes 1, auch in Verbindung mit einer Rechtsverordnung nach Absatz 4, ist keine Pflicht zur Pflege verbunden. Pflegemaßnahmen an Landschaftselementen nach Absatz 1 Nummer 1 bis 3 gelten als nichtproduktiv. Satz 2 gilt auch, wenn insbesondere anfallendes Schnittgut anschließend verwertet wird.</w:t>
      </w:r>
    </w:p>
    <w:p>
      <w:r>
        <w:rPr>
          <w:color w:val="555555"/>
          <w:sz w:val="17"/>
        </w:rPr>
        <w:t xml:space="preserve">Zitiervorschlag: § 19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