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GAPKondV — Verbot des Abbrennens von Stoppelfeldern</w:t>
      </w:r>
    </w:p>
    <w:p>
      <w:r>
        <w:rPr>
          <w:color w:val="555555"/>
          <w:sz w:val="18"/>
        </w:rPr>
        <w:t xml:space="preserve">GAP-Konditionalitäten-Verordnung</w:t>
      </w:r>
    </w:p>
    <w:p>
      <w:r>
        <w:rPr>
          <w:color w:val="555555"/>
          <w:sz w:val="18"/>
        </w:rPr>
        <w:t xml:space="preserve">Stand: 14.12.2022 (konsolidierte Textfassung, kein amtliches Inkrafttretensdatum)</w:t>
      </w:r>
    </w:p>
    <w:p>
      <w:r>
        <w:t xml:space="preserve">Stoppelfelder dürfen nicht abgebrannt werden.</w:t>
      </w:r>
    </w:p>
    <w:p>
      <w:r>
        <w:rPr>
          <w:color w:val="555555"/>
          <w:sz w:val="17"/>
        </w:rPr>
        <w:t xml:space="preserve">Zitiervorschlag: § 14 GAPKondV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https://recht.nulegal.eu/gesetze/GAPKondV/14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