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GAPKondV — Überprüfung der Genehmigung der erstmaligen oder vertieften Entwässerung landwirtschaftlicher Flächen</w:t>
      </w:r>
    </w:p>
    <w:p>
      <w:r>
        <w:rPr>
          <w:color w:val="555555"/>
          <w:sz w:val="18"/>
        </w:rPr>
        <w:t xml:space="preserve">GAP-Konditionalitäten-Verordnung</w:t>
      </w:r>
    </w:p>
    <w:p>
      <w:r>
        <w:rPr>
          <w:color w:val="555555"/>
          <w:sz w:val="18"/>
        </w:rPr>
        <w:t xml:space="preserve">Stand: 01.01.2025 (konsolidierte Textfassung, kein amtliches Inkrafttretensdatum)</w:t>
      </w:r>
    </w:p>
    <w:p>
      <w:r>
        <w:t xml:space="preserve">(1) Wer eine landwirtschaftliche Fläche in einer nach § 11 festgelegten Gebietskulisse erstmalig durch eine Drainage oder einen Graben entwässern will, bedarf der Genehmigung durch die zuständige Behörde. Die zuständige Behörde darf die Genehmigung nur unter Beachtung klimarelevanter Belange, insbesondere der Vermeidung von Kohlendioxidemissionen, erteilen. Die Genehmigung bedarf des Einvernehmens der zuständigen Naturschutzbehörde und der zuständigen Wasserbehörde. Wasserrechtliche Zulassungspflichten bleiben unberührt.</w:t>
      </w:r>
    </w:p>
    <w:p>
      <w:r>
        <w:t xml:space="preserve">(2) Wer eine bestehende Drainage oder einen bestehenden Graben zur Entwässerung einer landwirtschaftlichen Fläche in einer nach § 11 festgelegten Gebietskulisse in der Art und Weise erneuern oder instand setzen will, dass dadurch eine Tieferlegung des vorhandenen Entwässerungsniveaus erfolgt, bedarf der Genehmigung durch die zuständige Behörde. Die zuständige Behörde darf die Genehmigung nach Satz 1 nur erteilen, sofern die aufgrund der Erneuerung oder Instandsetzung der Drainage oder des Grabens erfolgende Tieferlegung des vorhandenen Entwässerungsniveaus für die Fortsetzung der landwirtschaftlichen Tätigkeit auf der betroffenen Fläche zwingend erforderlich ist, dies zu keiner erheblichen Beeinträchtigung der Natur und der sonstigen Umwelt führt und klimarelevante Belange im Sinne des Absatzes 1 Satz 2 beachtet werden. Die Genehmigung bedarf des Einvernehmens der zuständigen Naturschutzbehörde und der zuständigen Wasserbehörde. Absatz 1 Satz 4 gilt entsprechend.</w:t>
      </w:r>
    </w:p>
    <w:p>
      <w:r>
        <w:t xml:space="preserve">(3) Bei einer Kontrolle nach § 16 Absatz 1 Satz 1 des GAP-Konditionalitäten-Gesetzes hat der Begünstigte die Genehmigung nach Absatz 1 oder Absatz 2 den zur Kontrolle befugten Personen vorzulegen.</w:t>
      </w:r>
    </w:p>
    <w:p>
      <w:r>
        <w:rPr>
          <w:color w:val="555555"/>
          <w:sz w:val="17"/>
        </w:rPr>
        <w:t xml:space="preserve">Zitiervorschlag: § 13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