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GAPKondV — Anbau in Paludikulturverfahren</w:t>
      </w:r>
    </w:p>
    <w:p>
      <w:r>
        <w:rPr>
          <w:color w:val="555555"/>
          <w:sz w:val="18"/>
        </w:rPr>
        <w:t xml:space="preserve">GAP-Konditionalitäten-Verordnung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Innerhalb der Gebietskulisse nach § 11 sind das Umwandeln oder das Pflügen von Dauergrünland zulässig, sofern eine standortangepasste nasse Nutzung im Sinne einer Paludikultur etabliert wird.</w:t>
      </w:r>
    </w:p>
    <w:p>
      <w:r>
        <w:t xml:space="preserve">(2) Absatz 1 gilt nicht, sofern Dauergrünland betroffen ist, das</w:t>
      </w:r>
    </w:p>
    <w:p>
      <w:pPr>
        <w:ind w:left="420"/>
      </w:pPr>
      <w:r>
        <w:t xml:space="preserve">1. in einem Gebiet liegt, das in die Liste nach Artikel 4 Absatz 2 Unterabsatz 3 der Richtlinie 92/43/EWG eingetragen ist,</w:t>
      </w:r>
    </w:p>
    <w:p>
      <w:pPr>
        <w:ind w:left="420"/>
      </w:pPr>
      <w:r>
        <w:t xml:space="preserve">2. in einem Gebiet liegt, das nach Artikel 4 Absatz 1 Unterabsatz 2 der Richtlinie 2009/147/EG als Schutzgebiet ausgewiesen ist,</w:t>
      </w:r>
    </w:p>
    <w:p>
      <w:pPr>
        <w:ind w:left="420"/>
      </w:pPr>
      <w:r>
        <w:t xml:space="preserve">3. ein gesetzlich geschütztes Biotop nach § 30 Absatz 2 des Bundesnaturschutzgesetzes oder nach weiteren landesrechtlichen Vorschriften ist oder</w:t>
      </w:r>
    </w:p>
    <w:p>
      <w:pPr>
        <w:ind w:left="420"/>
      </w:pPr>
      <w:r>
        <w:t xml:space="preserve">4. in einem von einer Landesregierung aus Naturschutzgründen durch Rechtsverordnung ausgewiesenen Gebiet liegt.</w:t>
      </w:r>
    </w:p>
    <w:p>
      <w:r>
        <w:rPr>
          <w:color w:val="555555"/>
          <w:sz w:val="17"/>
        </w:rPr>
        <w:t xml:space="preserve">Zitiervorschlag: § 12 GAPKondV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https://recht.nulegal.eu/gesetze/GAPKondV/12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