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GAPKondV — Gebietskulisse</w:t>
      </w:r>
    </w:p>
    <w:p>
      <w:r>
        <w:rPr>
          <w:color w:val="555555"/>
          <w:sz w:val="18"/>
        </w:rPr>
        <w:t xml:space="preserve">GAP-Konditionalitäten-Verordnung</w:t>
      </w:r>
    </w:p>
    <w:p>
      <w:r>
        <w:rPr>
          <w:color w:val="555555"/>
          <w:sz w:val="18"/>
        </w:rPr>
        <w:t xml:space="preserve">Stand: 01.01.2025 (konsolidierte Textfassung, kein amtliches Inkrafttretensdatum)</w:t>
      </w:r>
    </w:p>
    <w:p>
      <w:r>
        <w:t xml:space="preserve">(1) Die Landesregierungen haben durch Rechtsverordnung nach § 26 Absatz 1 Nummer 2 in Verbindung mit Absatz 4 Satz 1 des GAP-Konditionalitäten-Gesetzes die Feuchtgebiete und Moore nach § 10 Absatz 1 Satz 1 des GAP-Konditionalitäten-Gesetzes als Gebietskulisse nach der bestverfügbaren Datengrundlage auszuweisen.</w:t>
      </w:r>
    </w:p>
    <w:p>
      <w:r>
        <w:t xml:space="preserve">(2) Feuchtgebiete und Moore nach Absatz 1 sind Böden mit mindestens 7,5 Prozent organischem Bodenkohlenstoffgehalt oder mindestens 15 Prozent organischer Bodensubstanz in einer horizontalen oder schräg gestellten Bodenschicht von 10 Zentimetern Mächtigkeit innerhalb der oberen 40 Zentimeter des Profils.</w:t>
      </w:r>
    </w:p>
    <w:p>
      <w:r>
        <w:t xml:space="preserve">(3) Zur Erstellung der Gebietskulisse können folgende Böden zugrunde gelegt werden:</w:t>
      </w:r>
    </w:p>
    <w:p>
      <w:pPr>
        <w:ind w:left="420"/>
      </w:pPr>
      <w:r>
        <w:t xml:space="preserve">1. Böden mit einem in Anlage 1 aufgeführten Klassenzeichen der Bodenschätzung nach dem Bodenschätzungsgesetz,</w:t>
      </w:r>
    </w:p>
    <w:p>
      <w:pPr>
        <w:ind w:left="420"/>
      </w:pPr>
      <w:r>
        <w:t xml:space="preserve">2. Bodentypen und Legendeneinheiten in Anlage 2 nach der aktuellen deutschen Bodensystematik und daran angelehnten Kartenwerken oder</w:t>
      </w:r>
    </w:p>
    <w:p>
      <w:pPr>
        <w:ind w:left="420"/>
      </w:pPr>
      <w:r>
        <w:t xml:space="preserve">3. eine Kombination aus Nummer 1 und 2.</w:t>
      </w:r>
    </w:p>
    <w:p>
      <w:r>
        <w:t xml:space="preserve">(4) Die Landesregierungen können in einer Rechtsverordnung nach Maßgabe des § 26 Absatz 1 Nummer 2 in Verbindung mit Absatz 4 Satz 1 des GAP-Konditionalitäten-Gesetzes festlegen:</w:t>
      </w:r>
    </w:p>
    <w:p>
      <w:pPr>
        <w:ind w:left="420"/>
      </w:pPr>
      <w:r>
        <w:t xml:space="preserve">1. die Mindestgröße für die Aufnahme von Feuchtgebieten und Mooren in die Gebietskulisse bis zu einer Obergrenze von 2 Hektar für zusammenhängende Flächen,</w:t>
      </w:r>
    </w:p>
    <w:p>
      <w:pPr>
        <w:ind w:left="420"/>
      </w:pPr>
      <w:r>
        <w:t xml:space="preserve">2. Regelungen für</w:t>
      </w:r>
    </w:p>
    <w:p>
      <w:pPr>
        <w:ind w:left="780"/>
      </w:pPr>
      <w:r>
        <w:t xml:space="preserve">a) die anlassbezogene Anpassung der Gebietskulisse und</w:t>
      </w:r>
    </w:p>
    <w:p>
      <w:pPr>
        <w:ind w:left="780"/>
      </w:pPr>
      <w:r>
        <w:t xml:space="preserve">b) die Zuordnung der Gebietskulisse zu den landwirtschaftlichen Parzellen und</w:t>
      </w:r>
    </w:p>
    <w:p>
      <w:pPr>
        <w:ind w:left="420"/>
      </w:pPr>
      <w:r>
        <w:t xml:space="preserve">3. Ausnahmen von § 10 Absatz 1 des GAP-Konditionalitäten-Gesetzes für ältere Treposole, die nachweislich vor dem 1. Januar 2020 angelegt wurden.</w:t>
      </w:r>
    </w:p>
    <w:p>
      <w:r>
        <w:rPr>
          <w:color w:val="555555"/>
          <w:sz w:val="17"/>
        </w:rPr>
        <w:t xml:space="preserve">Zitiervorschlag: § 11 GAPKondV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https://recht.nulegal.eu/gesetze/GAPKondV/11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