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GAPKondV — Anwendungsbereich</w:t>
      </w:r>
    </w:p>
    <w:p>
      <w:r>
        <w:rPr>
          <w:color w:val="555555"/>
          <w:sz w:val="18"/>
        </w:rPr>
        <w:t xml:space="preserve">GAP-Konditionalitäten-Verordnung</w:t>
      </w:r>
    </w:p>
    <w:p>
      <w:r>
        <w:rPr>
          <w:color w:val="555555"/>
          <w:sz w:val="18"/>
        </w:rPr>
        <w:t xml:space="preserve">Stand: 14.12.2022 (konsolidierte Textfassung, kein amtliches Inkrafttretensdatum)</w:t>
      </w:r>
    </w:p>
    <w:p>
      <w:r>
        <w:t xml:space="preserve">Diese Verordnung dient der Durchführung des GAP-Konditionalitäten-Gesetzes und der in § 1 des GAP-Konditionalitäten-Gesetzes genannten Unionsregelung.</w:t>
      </w:r>
    </w:p>
    <w:p>
      <w:r>
        <w:rPr>
          <w:color w:val="555555"/>
          <w:sz w:val="17"/>
        </w:rPr>
        <w:t xml:space="preserve">Zitiervorschlag: § 1 GAPKondV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