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GAPKondG — Bekanntmachung des Referenzanteils; Abnahme des Dauergrünlandanteils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Die zuständige Behörde gibt den nach den Vorgaben der Rechtsverordnung gemäß § 9 Absatz 6 zu bestimmenden maßgeblichen Referenzanteil für die Erhaltung des Dauergrünlandanteils im Bundesanzeiger bekannt.</w:t>
      </w:r>
    </w:p>
    <w:p>
      <w:r>
        <w:t xml:space="preserve">(2) Sobald der gemäß der Rechtsverordnung nach § 9 Absatz 6 ermittelte Dauergrünlandanteil in einer Region um mehr als 4 Prozent im Vergleich zu dem nach Absatz 1 bekannt gemachten Referenzanteil abgenommen hat, gibt die zuständige Behörde dies im Bundesanzeiger bekannt.</w:t>
      </w:r>
    </w:p>
    <w:p>
      <w:r>
        <w:t xml:space="preserve">(3) Mit Ablauf des Tages, der auf eine Bekanntmachung nach Absatz 2 folgt, dürfen in der betroffenen Region keine Genehmigungen nach § 5 mehr erteilt werden.</w:t>
      </w:r>
    </w:p>
    <w:p>
      <w:r>
        <w:rPr>
          <w:color w:val="555555"/>
          <w:sz w:val="17"/>
        </w:rPr>
        <w:t xml:space="preserve">Zitiervorschlag: § 8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