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GAPKondG — Bagatellregelung</w:t>
      </w:r>
    </w:p>
    <w:p>
      <w:r>
        <w:rPr>
          <w:color w:val="555555"/>
          <w:sz w:val="18"/>
        </w:rPr>
        <w:t xml:space="preserve">GAP-Konditionalitäten-Gesetz</w:t>
      </w:r>
    </w:p>
    <w:p>
      <w:r>
        <w:rPr>
          <w:color w:val="555555"/>
          <w:sz w:val="18"/>
        </w:rPr>
        <w:t xml:space="preserve">Stand: 16.12.2022 (konsolidierte Textfassung, kein amtliches Inkrafttretensdatum)</w:t>
      </w:r>
    </w:p>
    <w:p>
      <w:r>
        <w:t xml:space="preserve">(1) Abweichend von § 5 bedarf die Umwandlung von insgesamt bis zu 500 Quadratmetern Dauergrünland in einer Region je Begünstigtem und Jahr nicht der Genehmigung.</w:t>
      </w:r>
    </w:p>
    <w:p>
      <w:r>
        <w:t xml:space="preserve">(2) Absatz 1 findet mit Ablauf des Tages, der auf eine Bekanntmachung nach § 8 Absatz 2 folgt, in der davon betroffenen Region keine Anwendung.</w:t>
      </w:r>
    </w:p>
    <w:p>
      <w:r>
        <w:rPr>
          <w:color w:val="555555"/>
          <w:sz w:val="17"/>
        </w:rPr>
        <w:t xml:space="preserve">Zitiervorschlag: § 7 GAPKondG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