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GAPKondG — Umwandlung von Dauergrünland ohne Genehmigungsvorbehalt</w:t>
      </w:r>
    </w:p>
    <w:p>
      <w:r>
        <w:rPr>
          <w:color w:val="555555"/>
          <w:sz w:val="18"/>
        </w:rPr>
        <w:t xml:space="preserve">GAP-Konditionalitäten-Gesetz</w:t>
      </w:r>
    </w:p>
    <w:p>
      <w:r>
        <w:rPr>
          <w:color w:val="555555"/>
          <w:sz w:val="18"/>
        </w:rPr>
        <w:t xml:space="preserve">Stand: 16.12.2022 (konsolidierte Textfassung, kein amtliches Inkrafttretensdatum)</w:t>
      </w:r>
    </w:p>
    <w:p>
      <w:r>
        <w:t xml:space="preserve">Abweichend von § 5 kann Dauergrünland, das ab dem 1. Januar 2021 neu entstanden ist, vorbehaltlich anderer rechtlicher Regelungen, ohne Genehmigung umgewandelt werden. Die Umwandlung ist der zuständigen Behörde anzuzeigen.</w:t>
      </w:r>
    </w:p>
    <w:p>
      <w:r>
        <w:rPr>
          <w:color w:val="555555"/>
          <w:sz w:val="17"/>
        </w:rPr>
        <w:t xml:space="preserve">Zitiervorschlag: § 6 GAPKondG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