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GAPKondG — Sanktionierung von Verstößen gegen Vorschriften der sozialen Konditionalität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Ist der Zahlstelle ein Verstoß gegen eine Vorschrift der sozialen Konditionalität mitgeteilt worden, hat die Zahlstelle nach näherer Bestimmung einer Rechtsverordnung nach § 26 Absatz 6 Nummer 3 zu entscheiden, ob eine Verwaltungssanktion in Form einer Kürzung gegen den Begünstigten verhängt wird.</w:t>
      </w:r>
    </w:p>
    <w:p>
      <w:r>
        <w:t xml:space="preserve">(2) In den Fällen des § 13 Absatz 4 darf keine Verwaltungssanktion verhängt werden, wenn der Verstoß dem Begünstigten nicht zurechenbar ist oder der Verstoß weder dessen landwirtschaftliche Tätigkeit noch dessen Betrieb oder andere von ihm verwaltete Flächen betrifft.</w:t>
      </w:r>
    </w:p>
    <w:p>
      <w:r>
        <w:t xml:space="preserve">(3) Von der Verhängung einer Verwaltungssanktion ist abzusehen, sofern der Verstoß gegen eine Vorschrift der sozialen Konditionalität auf höherer Gewalt oder einer behördlichen Anordnung beruht.</w:t>
      </w:r>
    </w:p>
    <w:p>
      <w:r>
        <w:rPr>
          <w:color w:val="555555"/>
          <w:sz w:val="17"/>
        </w:rPr>
        <w:t xml:space="preserve">Zitiervorschlag: § 25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